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B0ABF" w14:textId="77777777" w:rsidR="0016314E" w:rsidRDefault="0016314E">
      <w:pPr>
        <w:widowControl w:val="0"/>
        <w:spacing w:after="0" w:line="276" w:lineRule="auto"/>
        <w:rPr>
          <w:rFonts w:ascii="Calibri" w:eastAsia="Calibri" w:hAnsi="Calibri" w:cs="Calibri"/>
        </w:rPr>
      </w:pPr>
    </w:p>
    <w:tbl>
      <w:tblPr>
        <w:tblStyle w:val="a"/>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32"/>
        <w:gridCol w:w="4284"/>
      </w:tblGrid>
      <w:tr w:rsidR="0016314E" w14:paraId="7B587EA4" w14:textId="77777777">
        <w:tc>
          <w:tcPr>
            <w:tcW w:w="8516" w:type="dxa"/>
            <w:gridSpan w:val="2"/>
          </w:tcPr>
          <w:p w14:paraId="19381370" w14:textId="77777777" w:rsidR="0016314E" w:rsidRDefault="0016314E">
            <w:pPr>
              <w:jc w:val="center"/>
              <w:rPr>
                <w:rFonts w:ascii="Calibri" w:eastAsia="Calibri" w:hAnsi="Calibri" w:cs="Calibri"/>
                <w:b/>
                <w:sz w:val="22"/>
                <w:szCs w:val="22"/>
              </w:rPr>
            </w:pPr>
          </w:p>
          <w:p w14:paraId="174E5F32" w14:textId="77777777" w:rsidR="0016314E" w:rsidRDefault="00035198">
            <w:pPr>
              <w:jc w:val="center"/>
              <w:rPr>
                <w:rFonts w:ascii="Calibri" w:eastAsia="Calibri" w:hAnsi="Calibri" w:cs="Calibri"/>
                <w:b/>
                <w:sz w:val="32"/>
                <w:szCs w:val="32"/>
              </w:rPr>
            </w:pPr>
            <w:r>
              <w:rPr>
                <w:rFonts w:ascii="Calibri" w:eastAsia="Calibri" w:hAnsi="Calibri" w:cs="Calibri"/>
                <w:b/>
                <w:sz w:val="32"/>
                <w:szCs w:val="32"/>
              </w:rPr>
              <w:t xml:space="preserve">IRIS - External Governance and Oversight </w:t>
            </w:r>
          </w:p>
          <w:p w14:paraId="34A6BAC9" w14:textId="77777777" w:rsidR="0016314E" w:rsidRDefault="0016314E">
            <w:pPr>
              <w:jc w:val="center"/>
              <w:rPr>
                <w:rFonts w:ascii="Calibri" w:eastAsia="Calibri" w:hAnsi="Calibri" w:cs="Calibri"/>
                <w:b/>
                <w:sz w:val="22"/>
                <w:szCs w:val="22"/>
              </w:rPr>
            </w:pPr>
          </w:p>
        </w:tc>
      </w:tr>
      <w:tr w:rsidR="0016314E" w14:paraId="1523A0B8" w14:textId="77777777">
        <w:trPr>
          <w:trHeight w:val="300"/>
        </w:trPr>
        <w:tc>
          <w:tcPr>
            <w:tcW w:w="4232" w:type="dxa"/>
          </w:tcPr>
          <w:p w14:paraId="0CFF60AD" w14:textId="77777777" w:rsidR="0016314E" w:rsidRDefault="00035198">
            <w:pPr>
              <w:rPr>
                <w:rFonts w:ascii="Calibri" w:eastAsia="Calibri" w:hAnsi="Calibri" w:cs="Calibri"/>
                <w:b/>
              </w:rPr>
            </w:pPr>
            <w:r>
              <w:rPr>
                <w:rFonts w:ascii="Calibri" w:eastAsia="Calibri" w:hAnsi="Calibri" w:cs="Calibri"/>
                <w:b/>
              </w:rPr>
              <w:t>Status</w:t>
            </w:r>
          </w:p>
        </w:tc>
        <w:tc>
          <w:tcPr>
            <w:tcW w:w="4284" w:type="dxa"/>
          </w:tcPr>
          <w:p w14:paraId="3C2C9381" w14:textId="77777777" w:rsidR="0016314E" w:rsidRDefault="00035198">
            <w:pPr>
              <w:rPr>
                <w:rFonts w:ascii="Calibri" w:eastAsia="Calibri" w:hAnsi="Calibri" w:cs="Calibri"/>
                <w:b/>
              </w:rPr>
            </w:pPr>
            <w:r>
              <w:rPr>
                <w:rFonts w:ascii="Calibri" w:eastAsia="Calibri" w:hAnsi="Calibri" w:cs="Calibri"/>
                <w:b/>
              </w:rPr>
              <w:t>Draft</w:t>
            </w:r>
          </w:p>
        </w:tc>
      </w:tr>
      <w:tr w:rsidR="0016314E" w14:paraId="4501D5EC" w14:textId="77777777">
        <w:tc>
          <w:tcPr>
            <w:tcW w:w="4232" w:type="dxa"/>
          </w:tcPr>
          <w:p w14:paraId="12D9790E" w14:textId="77777777" w:rsidR="0016314E" w:rsidRDefault="00035198">
            <w:pPr>
              <w:rPr>
                <w:rFonts w:ascii="Calibri" w:eastAsia="Calibri" w:hAnsi="Calibri" w:cs="Calibri"/>
                <w:b/>
              </w:rPr>
            </w:pPr>
            <w:r>
              <w:rPr>
                <w:rFonts w:ascii="Calibri" w:eastAsia="Calibri" w:hAnsi="Calibri" w:cs="Calibri"/>
                <w:b/>
              </w:rPr>
              <w:t>Version</w:t>
            </w:r>
          </w:p>
        </w:tc>
        <w:tc>
          <w:tcPr>
            <w:tcW w:w="4284" w:type="dxa"/>
          </w:tcPr>
          <w:p w14:paraId="3C05C921" w14:textId="097732F4" w:rsidR="0016314E" w:rsidRDefault="00035198">
            <w:pPr>
              <w:rPr>
                <w:rFonts w:ascii="Calibri" w:eastAsia="Calibri" w:hAnsi="Calibri" w:cs="Calibri"/>
                <w:b/>
              </w:rPr>
            </w:pPr>
            <w:r>
              <w:rPr>
                <w:rFonts w:ascii="Calibri" w:eastAsia="Calibri" w:hAnsi="Calibri" w:cs="Calibri"/>
                <w:b/>
              </w:rPr>
              <w:t>Draft 0.2</w:t>
            </w:r>
            <w:r w:rsidR="00952546">
              <w:rPr>
                <w:rFonts w:ascii="Calibri" w:eastAsia="Calibri" w:hAnsi="Calibri" w:cs="Calibri"/>
                <w:b/>
              </w:rPr>
              <w:t xml:space="preserve">   -&gt; Declared final 14/5/2020</w:t>
            </w:r>
          </w:p>
        </w:tc>
      </w:tr>
      <w:tr w:rsidR="0016314E" w14:paraId="095D3D9C" w14:textId="77777777">
        <w:trPr>
          <w:trHeight w:val="260"/>
        </w:trPr>
        <w:tc>
          <w:tcPr>
            <w:tcW w:w="4232" w:type="dxa"/>
          </w:tcPr>
          <w:p w14:paraId="72789DE4" w14:textId="77777777" w:rsidR="0016314E" w:rsidRDefault="00035198">
            <w:pPr>
              <w:rPr>
                <w:rFonts w:ascii="Calibri" w:eastAsia="Calibri" w:hAnsi="Calibri" w:cs="Calibri"/>
                <w:b/>
              </w:rPr>
            </w:pPr>
            <w:r>
              <w:rPr>
                <w:rFonts w:ascii="Calibri" w:eastAsia="Calibri" w:hAnsi="Calibri" w:cs="Calibri"/>
                <w:b/>
              </w:rPr>
              <w:t>Date</w:t>
            </w:r>
          </w:p>
        </w:tc>
        <w:tc>
          <w:tcPr>
            <w:tcW w:w="4284" w:type="dxa"/>
          </w:tcPr>
          <w:p w14:paraId="184E27E5" w14:textId="77777777" w:rsidR="0016314E" w:rsidRDefault="00035198">
            <w:pPr>
              <w:rPr>
                <w:rFonts w:ascii="Calibri" w:eastAsia="Calibri" w:hAnsi="Calibri" w:cs="Calibri"/>
                <w:b/>
              </w:rPr>
            </w:pPr>
            <w:r>
              <w:rPr>
                <w:rFonts w:ascii="Calibri" w:eastAsia="Calibri" w:hAnsi="Calibri" w:cs="Calibri"/>
                <w:b/>
              </w:rPr>
              <w:t>11/07/2018</w:t>
            </w:r>
          </w:p>
        </w:tc>
      </w:tr>
      <w:tr w:rsidR="0016314E" w14:paraId="05A007A9" w14:textId="77777777">
        <w:tc>
          <w:tcPr>
            <w:tcW w:w="4232" w:type="dxa"/>
          </w:tcPr>
          <w:p w14:paraId="59112CBD" w14:textId="77777777" w:rsidR="0016314E" w:rsidRDefault="0016314E">
            <w:pPr>
              <w:rPr>
                <w:rFonts w:ascii="Calibri" w:eastAsia="Calibri" w:hAnsi="Calibri" w:cs="Calibri"/>
                <w:b/>
                <w:sz w:val="22"/>
                <w:szCs w:val="22"/>
              </w:rPr>
            </w:pPr>
          </w:p>
        </w:tc>
        <w:tc>
          <w:tcPr>
            <w:tcW w:w="4284" w:type="dxa"/>
          </w:tcPr>
          <w:p w14:paraId="02EE28CE" w14:textId="77777777" w:rsidR="0016314E" w:rsidRDefault="0016314E">
            <w:pPr>
              <w:rPr>
                <w:rFonts w:ascii="Calibri" w:eastAsia="Calibri" w:hAnsi="Calibri" w:cs="Calibri"/>
                <w:b/>
                <w:sz w:val="22"/>
                <w:szCs w:val="22"/>
              </w:rPr>
            </w:pPr>
          </w:p>
        </w:tc>
      </w:tr>
    </w:tbl>
    <w:p w14:paraId="675280F0" w14:textId="3CEA7084" w:rsidR="0016314E" w:rsidRDefault="0016314E">
      <w:pPr>
        <w:rPr>
          <w:rFonts w:ascii="Calibri" w:eastAsia="Calibri" w:hAnsi="Calibri" w:cs="Calibri"/>
          <w:b/>
          <w:sz w:val="28"/>
          <w:szCs w:val="28"/>
        </w:rPr>
      </w:pPr>
    </w:p>
    <w:p w14:paraId="21F7550B" w14:textId="77777777" w:rsidR="00952546" w:rsidRDefault="00952546">
      <w:pPr>
        <w:rPr>
          <w:rFonts w:ascii="Calibri" w:eastAsia="Calibri" w:hAnsi="Calibri" w:cs="Calibri"/>
          <w:b/>
          <w:sz w:val="28"/>
          <w:szCs w:val="28"/>
        </w:rPr>
      </w:pPr>
      <w:r>
        <w:rPr>
          <w:rFonts w:ascii="Calibri" w:eastAsia="Calibri" w:hAnsi="Calibri" w:cs="Calibri"/>
          <w:b/>
          <w:sz w:val="28"/>
          <w:szCs w:val="28"/>
        </w:rPr>
        <w:t xml:space="preserve">Notes: </w:t>
      </w:r>
    </w:p>
    <w:p w14:paraId="6DFF3399" w14:textId="77777777" w:rsidR="00952546" w:rsidRDefault="00952546" w:rsidP="00952546">
      <w:pPr>
        <w:pStyle w:val="ListParagraph"/>
        <w:numPr>
          <w:ilvl w:val="0"/>
          <w:numId w:val="4"/>
        </w:numPr>
        <w:rPr>
          <w:rFonts w:ascii="Calibri" w:eastAsia="Calibri" w:hAnsi="Calibri" w:cs="Calibri"/>
          <w:b/>
          <w:sz w:val="28"/>
          <w:szCs w:val="28"/>
        </w:rPr>
      </w:pPr>
      <w:r w:rsidRPr="00952546">
        <w:rPr>
          <w:rFonts w:ascii="Calibri" w:eastAsia="Calibri" w:hAnsi="Calibri" w:cs="Calibri"/>
          <w:b/>
          <w:sz w:val="28"/>
          <w:szCs w:val="28"/>
        </w:rPr>
        <w:t>This document</w:t>
      </w:r>
      <w:r>
        <w:rPr>
          <w:rFonts w:ascii="Calibri" w:eastAsia="Calibri" w:hAnsi="Calibri" w:cs="Calibri"/>
          <w:b/>
          <w:sz w:val="28"/>
          <w:szCs w:val="28"/>
        </w:rPr>
        <w:t xml:space="preserve"> laid in draft state </w:t>
      </w:r>
    </w:p>
    <w:p w14:paraId="08EB426F" w14:textId="2D796A86" w:rsidR="00952546" w:rsidRDefault="00952546" w:rsidP="00952546">
      <w:pPr>
        <w:pStyle w:val="ListParagraph"/>
        <w:numPr>
          <w:ilvl w:val="0"/>
          <w:numId w:val="4"/>
        </w:numPr>
        <w:rPr>
          <w:rFonts w:ascii="Calibri" w:eastAsia="Calibri" w:hAnsi="Calibri" w:cs="Calibri"/>
          <w:b/>
          <w:sz w:val="28"/>
          <w:szCs w:val="28"/>
        </w:rPr>
      </w:pPr>
      <w:r>
        <w:rPr>
          <w:rFonts w:ascii="Calibri" w:eastAsia="Calibri" w:hAnsi="Calibri" w:cs="Calibri"/>
          <w:b/>
          <w:sz w:val="28"/>
          <w:szCs w:val="28"/>
        </w:rPr>
        <w:t>It</w:t>
      </w:r>
      <w:r w:rsidRPr="00952546">
        <w:rPr>
          <w:rFonts w:ascii="Calibri" w:eastAsia="Calibri" w:hAnsi="Calibri" w:cs="Calibri"/>
          <w:b/>
          <w:sz w:val="28"/>
          <w:szCs w:val="28"/>
        </w:rPr>
        <w:t xml:space="preserve"> </w:t>
      </w:r>
      <w:r>
        <w:rPr>
          <w:rFonts w:ascii="Calibri" w:eastAsia="Calibri" w:hAnsi="Calibri" w:cs="Calibri"/>
          <w:b/>
          <w:sz w:val="28"/>
          <w:szCs w:val="28"/>
        </w:rPr>
        <w:t>has been overtaken by events</w:t>
      </w:r>
    </w:p>
    <w:p w14:paraId="5E666465" w14:textId="7266C5BD" w:rsidR="00952546" w:rsidRDefault="00952546" w:rsidP="00952546">
      <w:pPr>
        <w:pStyle w:val="ListParagraph"/>
        <w:numPr>
          <w:ilvl w:val="0"/>
          <w:numId w:val="4"/>
        </w:numPr>
        <w:rPr>
          <w:rFonts w:ascii="Calibri" w:eastAsia="Calibri" w:hAnsi="Calibri" w:cs="Calibri"/>
          <w:b/>
          <w:sz w:val="28"/>
          <w:szCs w:val="28"/>
        </w:rPr>
      </w:pPr>
      <w:r>
        <w:rPr>
          <w:rFonts w:ascii="Calibri" w:eastAsia="Calibri" w:hAnsi="Calibri" w:cs="Calibri"/>
          <w:b/>
          <w:sz w:val="28"/>
          <w:szCs w:val="28"/>
        </w:rPr>
        <w:t xml:space="preserve">IRIS now reports directly to the STFC </w:t>
      </w:r>
      <w:proofErr w:type="gramStart"/>
      <w:r>
        <w:rPr>
          <w:rFonts w:ascii="Calibri" w:eastAsia="Calibri" w:hAnsi="Calibri" w:cs="Calibri"/>
          <w:b/>
          <w:sz w:val="28"/>
          <w:szCs w:val="28"/>
        </w:rPr>
        <w:t>PRC  (</w:t>
      </w:r>
      <w:proofErr w:type="gramEnd"/>
      <w:r>
        <w:rPr>
          <w:rFonts w:ascii="Calibri" w:eastAsia="Calibri" w:hAnsi="Calibri" w:cs="Calibri"/>
          <w:b/>
          <w:sz w:val="28"/>
          <w:szCs w:val="28"/>
        </w:rPr>
        <w:t>Project Review Committee)</w:t>
      </w:r>
      <w:r w:rsidR="00035198">
        <w:rPr>
          <w:rFonts w:ascii="Calibri" w:eastAsia="Calibri" w:hAnsi="Calibri" w:cs="Calibri"/>
          <w:b/>
          <w:sz w:val="28"/>
          <w:szCs w:val="28"/>
        </w:rPr>
        <w:t>. This is de facto the STFC Oversight Committee function indicated in RED below.</w:t>
      </w:r>
    </w:p>
    <w:p w14:paraId="1810D491" w14:textId="4919A00C" w:rsidR="00952546" w:rsidRDefault="00952546" w:rsidP="00952546">
      <w:pPr>
        <w:pStyle w:val="ListParagraph"/>
        <w:numPr>
          <w:ilvl w:val="0"/>
          <w:numId w:val="4"/>
        </w:numPr>
        <w:rPr>
          <w:rFonts w:ascii="Calibri" w:eastAsia="Calibri" w:hAnsi="Calibri" w:cs="Calibri"/>
          <w:b/>
          <w:sz w:val="28"/>
          <w:szCs w:val="28"/>
        </w:rPr>
      </w:pPr>
      <w:r>
        <w:rPr>
          <w:rFonts w:ascii="Calibri" w:eastAsia="Calibri" w:hAnsi="Calibri" w:cs="Calibri"/>
          <w:b/>
          <w:sz w:val="28"/>
          <w:szCs w:val="28"/>
        </w:rPr>
        <w:t>Recently a discussion document has been circulated to pick up on the SAB function mentioned below</w:t>
      </w:r>
      <w:r w:rsidR="00035198">
        <w:rPr>
          <w:rFonts w:ascii="Calibri" w:eastAsia="Calibri" w:hAnsi="Calibri" w:cs="Calibri"/>
          <w:b/>
          <w:sz w:val="28"/>
          <w:szCs w:val="28"/>
        </w:rPr>
        <w:t xml:space="preserve">. </w:t>
      </w:r>
    </w:p>
    <w:p w14:paraId="6BE809CC" w14:textId="46DEF18A" w:rsidR="00952546" w:rsidRPr="00952546" w:rsidRDefault="00952546" w:rsidP="00952546">
      <w:pPr>
        <w:pStyle w:val="ListParagraph"/>
        <w:numPr>
          <w:ilvl w:val="0"/>
          <w:numId w:val="4"/>
        </w:numPr>
        <w:rPr>
          <w:rFonts w:ascii="Calibri" w:eastAsia="Calibri" w:hAnsi="Calibri" w:cs="Calibri"/>
          <w:b/>
          <w:sz w:val="28"/>
          <w:szCs w:val="28"/>
        </w:rPr>
      </w:pPr>
      <w:r>
        <w:rPr>
          <w:rFonts w:ascii="Calibri" w:eastAsia="Calibri" w:hAnsi="Calibri" w:cs="Calibri"/>
          <w:b/>
          <w:sz w:val="28"/>
          <w:szCs w:val="28"/>
        </w:rPr>
        <w:t>This document has thus been declared final for historical record.</w:t>
      </w:r>
    </w:p>
    <w:p w14:paraId="63295DE7" w14:textId="77777777" w:rsidR="0016314E" w:rsidRDefault="0016314E">
      <w:pPr>
        <w:pBdr>
          <w:bottom w:val="single" w:sz="6" w:space="1" w:color="000000"/>
        </w:pBdr>
        <w:rPr>
          <w:rFonts w:ascii="Calibri" w:eastAsia="Calibri" w:hAnsi="Calibri" w:cs="Calibri"/>
          <w:b/>
          <w:sz w:val="28"/>
          <w:szCs w:val="28"/>
        </w:rPr>
      </w:pPr>
    </w:p>
    <w:p w14:paraId="450458F5" w14:textId="77777777" w:rsidR="0016314E" w:rsidRDefault="0016314E">
      <w:pPr>
        <w:pBdr>
          <w:top w:val="none" w:sz="0" w:space="0" w:color="000000"/>
        </w:pBdr>
        <w:rPr>
          <w:rFonts w:ascii="Calibri" w:eastAsia="Calibri" w:hAnsi="Calibri" w:cs="Calibri"/>
          <w:b/>
          <w:sz w:val="28"/>
          <w:szCs w:val="28"/>
        </w:rPr>
      </w:pPr>
    </w:p>
    <w:p w14:paraId="52D59A60" w14:textId="77777777" w:rsidR="0016314E" w:rsidRDefault="00035198">
      <w:pPr>
        <w:pStyle w:val="Heading1"/>
      </w:pPr>
      <w:bookmarkStart w:id="0" w:name="_g74vhq4c2c29" w:colFirst="0" w:colLast="0"/>
      <w:bookmarkEnd w:id="0"/>
      <w:proofErr w:type="spellStart"/>
      <w:r>
        <w:t>In</w:t>
      </w:r>
      <w:proofErr w:type="spellEnd"/>
      <w:r>
        <w:t>troduction</w:t>
      </w:r>
    </w:p>
    <w:p w14:paraId="679039E0" w14:textId="77777777" w:rsidR="0016314E" w:rsidRDefault="00035198">
      <w:r>
        <w:t xml:space="preserve">The IRIS collaboration has already put in place a number of internal management structures which manage day to day management and development of the IRIS infrastructure and service (these are described in brief below but are not the subject matter of this </w:t>
      </w:r>
      <w:r>
        <w:t>document). This document describes an additional external governance and oversight structures to address oversight of two distinct activities:</w:t>
      </w:r>
    </w:p>
    <w:p w14:paraId="230940E3" w14:textId="77777777" w:rsidR="0016314E" w:rsidRDefault="00035198">
      <w:pPr>
        <w:numPr>
          <w:ilvl w:val="0"/>
          <w:numId w:val="1"/>
        </w:numPr>
        <w:contextualSpacing/>
      </w:pPr>
      <w:r>
        <w:t>IRIS: A collaboration of STFC eInfrastructure projects (</w:t>
      </w:r>
      <w:proofErr w:type="spellStart"/>
      <w:r>
        <w:t>eg</w:t>
      </w:r>
      <w:proofErr w:type="spellEnd"/>
      <w:r>
        <w:t xml:space="preserve"> DiRAC, GridPP, ALC), infrastructure providers (</w:t>
      </w:r>
      <w:proofErr w:type="spellStart"/>
      <w:r>
        <w:t>eg</w:t>
      </w:r>
      <w:proofErr w:type="spellEnd"/>
      <w:r>
        <w:t xml:space="preserve"> SCD,</w:t>
      </w:r>
      <w:r>
        <w:t xml:space="preserve"> </w:t>
      </w:r>
      <w:proofErr w:type="spellStart"/>
      <w:r>
        <w:t>Hartree</w:t>
      </w:r>
      <w:proofErr w:type="spellEnd"/>
      <w:r>
        <w:t xml:space="preserve">, Manchester, Edinburgh, </w:t>
      </w:r>
      <w:proofErr w:type="gramStart"/>
      <w:r>
        <w:t xml:space="preserve">Cambridge)   </w:t>
      </w:r>
      <w:proofErr w:type="gramEnd"/>
      <w:r>
        <w:t xml:space="preserve"> and Scientific projects, experiments and facilities (</w:t>
      </w:r>
      <w:proofErr w:type="spellStart"/>
      <w:r>
        <w:t>eg</w:t>
      </w:r>
      <w:proofErr w:type="spellEnd"/>
      <w:r>
        <w:t>, SKA, LHC, ISIS, …). IRIS is led by Peter Clarke (Edinburgh) and is managed through its Delivery Board (DB) and other collaboration management structures</w:t>
      </w:r>
      <w:r>
        <w:t xml:space="preserve">.   </w:t>
      </w:r>
    </w:p>
    <w:p w14:paraId="350AF744" w14:textId="77777777" w:rsidR="0016314E" w:rsidRDefault="00035198">
      <w:pPr>
        <w:numPr>
          <w:ilvl w:val="0"/>
          <w:numId w:val="1"/>
        </w:numPr>
        <w:contextualSpacing/>
      </w:pPr>
      <w:r>
        <w:t xml:space="preserve">A four year, £16M capital project to deliver eInfrastructure for STFC as described in a business case approved by BEIS. SCD has budgetary control of this </w:t>
      </w:r>
      <w:proofErr w:type="gramStart"/>
      <w:r>
        <w:t>project, but</w:t>
      </w:r>
      <w:proofErr w:type="gramEnd"/>
      <w:r>
        <w:t xml:space="preserve"> acts as a custodian of the funds which are delivered through its university and faci</w:t>
      </w:r>
      <w:r>
        <w:t>lity partners. SCD issues grants and funds on the basis of recommendations received from the IRIS Delivery Board.</w:t>
      </w:r>
    </w:p>
    <w:p w14:paraId="00BCCB64" w14:textId="77777777" w:rsidR="0016314E" w:rsidRDefault="00035198">
      <w:r>
        <w:t>Whilst closely coupled, these are distinctly different activities, one is a project with fixed funding and fixed duration, the other a collabo</w:t>
      </w:r>
      <w:r>
        <w:t xml:space="preserve">rative activity, with many partners seeking to deliver an integrated eInfrastructure for STFC. Both of these activities need governance and oversight which it is recommended is carried out through two separate entities as described below. </w:t>
      </w:r>
    </w:p>
    <w:p w14:paraId="65D36D14" w14:textId="77777777" w:rsidR="0016314E" w:rsidRDefault="00035198">
      <w:pPr>
        <w:pStyle w:val="Heading1"/>
      </w:pPr>
      <w:bookmarkStart w:id="1" w:name="_6pts6i1ytxmf" w:colFirst="0" w:colLast="0"/>
      <w:bookmarkEnd w:id="1"/>
      <w:r>
        <w:lastRenderedPageBreak/>
        <w:t>Proposed IRIS Go</w:t>
      </w:r>
      <w:r>
        <w:t>vernance and Oversight</w:t>
      </w:r>
    </w:p>
    <w:p w14:paraId="7B0C897B" w14:textId="77777777" w:rsidR="0016314E" w:rsidRDefault="00035198">
      <w:r>
        <w:t>Based upon STFC’s Project management Framework It is proposed that two governance and oversight committees are formed:</w:t>
      </w:r>
    </w:p>
    <w:p w14:paraId="2B032A99" w14:textId="77777777" w:rsidR="0016314E" w:rsidRDefault="00035198">
      <w:pPr>
        <w:numPr>
          <w:ilvl w:val="0"/>
          <w:numId w:val="3"/>
        </w:numPr>
        <w:contextualSpacing/>
      </w:pPr>
      <w:r>
        <w:t xml:space="preserve">An SCD </w:t>
      </w:r>
      <w:r>
        <w:rPr>
          <w:b/>
        </w:rPr>
        <w:t>eInfrastructure Project Board</w:t>
      </w:r>
      <w:r>
        <w:t>, chaired by the Director of SCD as</w:t>
      </w:r>
      <w:r>
        <w:rPr>
          <w:b/>
        </w:rPr>
        <w:t xml:space="preserve"> Project Sponsor</w:t>
      </w:r>
      <w:r>
        <w:t xml:space="preserve"> ensure appropriate financi</w:t>
      </w:r>
      <w:r>
        <w:t>al and project management of the</w:t>
      </w:r>
      <w:r>
        <w:rPr>
          <w:b/>
        </w:rPr>
        <w:t xml:space="preserve"> 2018 BEIS capital allocation of £16M</w:t>
      </w:r>
      <w:r>
        <w:t xml:space="preserve"> in order to meet the business case approved by BEIS. This body will meet monthly and reports through STFC’s existing standing committees.</w:t>
      </w:r>
    </w:p>
    <w:p w14:paraId="3385ED40" w14:textId="77777777" w:rsidR="0016314E" w:rsidRDefault="00035198">
      <w:pPr>
        <w:numPr>
          <w:ilvl w:val="0"/>
          <w:numId w:val="3"/>
        </w:numPr>
        <w:contextualSpacing/>
      </w:pPr>
      <w:r>
        <w:t xml:space="preserve"> An </w:t>
      </w:r>
      <w:r>
        <w:rPr>
          <w:b/>
        </w:rPr>
        <w:t>IRIS Oversight Committee</w:t>
      </w:r>
      <w:r>
        <w:t xml:space="preserve">, (with independent </w:t>
      </w:r>
      <w:r>
        <w:t xml:space="preserve">chair - ???????) reporting to </w:t>
      </w:r>
      <w:proofErr w:type="spellStart"/>
      <w:r>
        <w:rPr>
          <w:b/>
        </w:rPr>
        <w:t>SeIGO</w:t>
      </w:r>
      <w:proofErr w:type="spellEnd"/>
      <w:r>
        <w:t xml:space="preserve"> to ensure that this activity meets the needs of STFC’s science community, follow best practice and offers good value for money.  The IRIS Oversight Committee will also act as an Advisory Board to the </w:t>
      </w:r>
      <w:r>
        <w:rPr>
          <w:b/>
        </w:rPr>
        <w:t xml:space="preserve">SCD eInfrastructure </w:t>
      </w:r>
      <w:r>
        <w:rPr>
          <w:b/>
        </w:rPr>
        <w:t>Project Board.</w:t>
      </w:r>
    </w:p>
    <w:p w14:paraId="33EB7689" w14:textId="77777777" w:rsidR="0016314E" w:rsidRDefault="00035198">
      <w:r>
        <w:t>This proposed structure offers a number of key benefits:</w:t>
      </w:r>
    </w:p>
    <w:p w14:paraId="6B2F27C7" w14:textId="77777777" w:rsidR="0016314E" w:rsidRDefault="00035198">
      <w:pPr>
        <w:numPr>
          <w:ilvl w:val="0"/>
          <w:numId w:val="2"/>
        </w:numPr>
        <w:contextualSpacing/>
      </w:pPr>
      <w:r>
        <w:t xml:space="preserve">Responsibility for Project Sponsorship and oversight of the BEIS capital allocation </w:t>
      </w:r>
      <w:proofErr w:type="gramStart"/>
      <w:r>
        <w:t>rests  with</w:t>
      </w:r>
      <w:proofErr w:type="gramEnd"/>
      <w:r>
        <w:t xml:space="preserve"> the budget holding department (SCD) as recommended in the project management framework.</w:t>
      </w:r>
    </w:p>
    <w:p w14:paraId="0B15FE79" w14:textId="77777777" w:rsidR="0016314E" w:rsidRDefault="00035198">
      <w:pPr>
        <w:numPr>
          <w:ilvl w:val="0"/>
          <w:numId w:val="2"/>
        </w:numPr>
        <w:contextualSpacing/>
      </w:pPr>
      <w:r>
        <w:t xml:space="preserve">Oversight of IRIS’s broad </w:t>
      </w:r>
      <w:proofErr w:type="spellStart"/>
      <w:r>
        <w:t>einfrastructure</w:t>
      </w:r>
      <w:proofErr w:type="spellEnd"/>
      <w:r>
        <w:t xml:space="preserve"> development activities will appropriately rest with </w:t>
      </w:r>
      <w:proofErr w:type="spellStart"/>
      <w:r>
        <w:t>SeIGO</w:t>
      </w:r>
      <w:proofErr w:type="spellEnd"/>
      <w:r>
        <w:t xml:space="preserve"> without </w:t>
      </w:r>
      <w:proofErr w:type="spellStart"/>
      <w:r>
        <w:t>SeIGO</w:t>
      </w:r>
      <w:proofErr w:type="spellEnd"/>
      <w:r>
        <w:t xml:space="preserve"> needing to address short term financial / project / operational issues that instead fall to the Project Board.</w:t>
      </w:r>
    </w:p>
    <w:p w14:paraId="65D02120" w14:textId="77777777" w:rsidR="0016314E" w:rsidRDefault="00035198">
      <w:pPr>
        <w:numPr>
          <w:ilvl w:val="0"/>
          <w:numId w:val="2"/>
        </w:numPr>
        <w:contextualSpacing/>
      </w:pPr>
      <w:r>
        <w:t xml:space="preserve">The Project Board will be able </w:t>
      </w:r>
      <w:r>
        <w:t xml:space="preserve">to exploit existing STFC best practice and routinely report to a number of STFC </w:t>
      </w:r>
      <w:proofErr w:type="gramStart"/>
      <w:r>
        <w:t>entities  (</w:t>
      </w:r>
      <w:proofErr w:type="gramEnd"/>
      <w:r>
        <w:t xml:space="preserve">such as the Project Review Committee, Risk Assurance Group and Financial Management Meeting)  who exercise oversight and control across a range of STFC projects and </w:t>
      </w:r>
      <w:r>
        <w:t>activities.</w:t>
      </w:r>
    </w:p>
    <w:p w14:paraId="7C93B92A" w14:textId="77777777" w:rsidR="0016314E" w:rsidRDefault="00035198">
      <w:pPr>
        <w:numPr>
          <w:ilvl w:val="0"/>
          <w:numId w:val="2"/>
        </w:numPr>
        <w:contextualSpacing/>
      </w:pPr>
      <w:r>
        <w:t xml:space="preserve">Through appropriate representation on the IRIS Oversight Committee (and through </w:t>
      </w:r>
      <w:proofErr w:type="spellStart"/>
      <w:r>
        <w:t>SeIGO</w:t>
      </w:r>
      <w:proofErr w:type="spellEnd"/>
      <w:r>
        <w:t xml:space="preserve">) both Program’s Directorate (PD) and national Labs facilities will be able to monitor and ensure that the needs of their science communities are being met by </w:t>
      </w:r>
      <w:r>
        <w:t>IRIS.</w:t>
      </w:r>
    </w:p>
    <w:p w14:paraId="4A3379B7" w14:textId="77777777" w:rsidR="0016314E" w:rsidRDefault="00035198">
      <w:pPr>
        <w:numPr>
          <w:ilvl w:val="0"/>
          <w:numId w:val="2"/>
        </w:numPr>
        <w:contextualSpacing/>
      </w:pPr>
      <w:r>
        <w:t>Through the presence of independent eInfrastructure experts, the IRIS Oversight Committee will be able to provide advice and assurance that IRIS is following best practice, consistent with UKRI aims and objectives.</w:t>
      </w:r>
    </w:p>
    <w:p w14:paraId="33D14C41" w14:textId="77777777" w:rsidR="0016314E" w:rsidRDefault="00035198">
      <w:pPr>
        <w:numPr>
          <w:ilvl w:val="0"/>
          <w:numId w:val="2"/>
        </w:numPr>
        <w:contextualSpacing/>
      </w:pPr>
      <w:r>
        <w:t>When required, External independent</w:t>
      </w:r>
      <w:r>
        <w:t xml:space="preserve"> peer review can be initiated either by </w:t>
      </w:r>
      <w:proofErr w:type="spellStart"/>
      <w:r>
        <w:t>SeIGO</w:t>
      </w:r>
      <w:proofErr w:type="spellEnd"/>
      <w:r>
        <w:t xml:space="preserve"> or by its IRIS Oversight Committee  </w:t>
      </w:r>
    </w:p>
    <w:p w14:paraId="7F672D3B" w14:textId="77777777" w:rsidR="0016314E" w:rsidRDefault="00035198">
      <w:pPr>
        <w:pStyle w:val="Heading1"/>
      </w:pPr>
      <w:bookmarkStart w:id="2" w:name="_8yrqyc7y1go" w:colFirst="0" w:colLast="0"/>
      <w:bookmarkEnd w:id="2"/>
      <w:r>
        <w:t>Background</w:t>
      </w:r>
    </w:p>
    <w:p w14:paraId="343F258C" w14:textId="77777777" w:rsidR="0016314E" w:rsidRDefault="00035198">
      <w:pPr>
        <w:pStyle w:val="Heading2"/>
      </w:pPr>
      <w:bookmarkStart w:id="3" w:name="_rfbjgo8g59ih" w:colFirst="0" w:colLast="0"/>
      <w:bookmarkEnd w:id="3"/>
      <w:r>
        <w:t>IRIS Management Structure</w:t>
      </w:r>
      <w:r>
        <w:br/>
      </w:r>
    </w:p>
    <w:p w14:paraId="75904219" w14:textId="77777777" w:rsidR="0016314E" w:rsidRDefault="00035198">
      <w:r>
        <w:t>Since the award of the £16M BEIS capital allocation in April 2018, IRIS has built on and replaced pre-existing UKT0 management structur</w:t>
      </w:r>
      <w:r>
        <w:t>es (such as the UKT0-PMB) put in place to manage the original 2017 Program Directorate £1.5M capital grant.</w:t>
      </w:r>
    </w:p>
    <w:p w14:paraId="3A44BBE8" w14:textId="77777777" w:rsidR="0016314E" w:rsidRDefault="00035198">
      <w:r>
        <w:lastRenderedPageBreak/>
        <w:t>As IRIS is a collaboration of existing STFC eInfrastructures, wherever possible, IRIS will exploit management structures and capabilities of its par</w:t>
      </w:r>
      <w:r>
        <w:t>tners rather than create its own additional processes.</w:t>
      </w:r>
    </w:p>
    <w:p w14:paraId="79E992D0" w14:textId="77777777" w:rsidR="0016314E" w:rsidRDefault="00035198">
      <w:r>
        <w:t xml:space="preserve"> The proposed IRIS management structure was considered and developed at the </w:t>
      </w:r>
      <w:proofErr w:type="gramStart"/>
      <w:r>
        <w:t>IRIS(</w:t>
      </w:r>
      <w:proofErr w:type="gramEnd"/>
      <w:r>
        <w:t>then UKT0) Collaboration meeting in March 2018 and agreed by a newly constituted  IRIS delivery Board (DB) in May. Sever</w:t>
      </w:r>
      <w:r>
        <w:t xml:space="preserve">al of the core IRIS management committees are already formed and are routinely meeting. The table and diagram below </w:t>
      </w:r>
      <w:proofErr w:type="gramStart"/>
      <w:r>
        <w:t>describes</w:t>
      </w:r>
      <w:proofErr w:type="gramEnd"/>
      <w:r>
        <w:t xml:space="preserve"> the current status of IRIS management.</w:t>
      </w:r>
    </w:p>
    <w:p w14:paraId="10B2261C" w14:textId="77777777" w:rsidR="0016314E" w:rsidRDefault="0016314E"/>
    <w:p w14:paraId="1D6CAD0E" w14:textId="77777777" w:rsidR="0016314E" w:rsidRDefault="0016314E"/>
    <w:tbl>
      <w:tblPr>
        <w:tblStyle w:val="a0"/>
        <w:tblW w:w="830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72"/>
        <w:gridCol w:w="4740"/>
        <w:gridCol w:w="1890"/>
      </w:tblGrid>
      <w:tr w:rsidR="0016314E" w14:paraId="72D39A9E" w14:textId="77777777">
        <w:tc>
          <w:tcPr>
            <w:tcW w:w="1672" w:type="dxa"/>
            <w:shd w:val="clear" w:color="auto" w:fill="auto"/>
            <w:tcMar>
              <w:top w:w="100" w:type="dxa"/>
              <w:left w:w="100" w:type="dxa"/>
              <w:bottom w:w="100" w:type="dxa"/>
              <w:right w:w="100" w:type="dxa"/>
            </w:tcMar>
          </w:tcPr>
          <w:p w14:paraId="6D37C45B" w14:textId="77777777" w:rsidR="0016314E" w:rsidRDefault="00035198">
            <w:pPr>
              <w:widowControl w:val="0"/>
              <w:pBdr>
                <w:top w:val="nil"/>
                <w:left w:val="nil"/>
                <w:bottom w:val="nil"/>
                <w:right w:val="nil"/>
                <w:between w:val="nil"/>
              </w:pBdr>
              <w:spacing w:after="0"/>
              <w:rPr>
                <w:b/>
              </w:rPr>
            </w:pPr>
            <w:r>
              <w:rPr>
                <w:b/>
              </w:rPr>
              <w:t>Entity</w:t>
            </w:r>
          </w:p>
        </w:tc>
        <w:tc>
          <w:tcPr>
            <w:tcW w:w="4740" w:type="dxa"/>
            <w:shd w:val="clear" w:color="auto" w:fill="auto"/>
            <w:tcMar>
              <w:top w:w="100" w:type="dxa"/>
              <w:left w:w="100" w:type="dxa"/>
              <w:bottom w:w="100" w:type="dxa"/>
              <w:right w:w="100" w:type="dxa"/>
            </w:tcMar>
          </w:tcPr>
          <w:p w14:paraId="0F74C1D6" w14:textId="77777777" w:rsidR="0016314E" w:rsidRDefault="00035198">
            <w:pPr>
              <w:widowControl w:val="0"/>
              <w:pBdr>
                <w:top w:val="nil"/>
                <w:left w:val="nil"/>
                <w:bottom w:val="nil"/>
                <w:right w:val="nil"/>
                <w:between w:val="nil"/>
              </w:pBdr>
              <w:spacing w:after="0"/>
              <w:rPr>
                <w:b/>
              </w:rPr>
            </w:pPr>
            <w:r>
              <w:rPr>
                <w:b/>
              </w:rPr>
              <w:t>Description</w:t>
            </w:r>
          </w:p>
        </w:tc>
        <w:tc>
          <w:tcPr>
            <w:tcW w:w="1890" w:type="dxa"/>
            <w:shd w:val="clear" w:color="auto" w:fill="auto"/>
            <w:tcMar>
              <w:top w:w="100" w:type="dxa"/>
              <w:left w:w="100" w:type="dxa"/>
              <w:bottom w:w="100" w:type="dxa"/>
              <w:right w:w="100" w:type="dxa"/>
            </w:tcMar>
          </w:tcPr>
          <w:p w14:paraId="0D3CDC14" w14:textId="77777777" w:rsidR="0016314E" w:rsidRDefault="00035198">
            <w:pPr>
              <w:widowControl w:val="0"/>
              <w:pBdr>
                <w:top w:val="nil"/>
                <w:left w:val="nil"/>
                <w:bottom w:val="nil"/>
                <w:right w:val="nil"/>
                <w:between w:val="nil"/>
              </w:pBdr>
              <w:spacing w:after="0"/>
              <w:rPr>
                <w:b/>
              </w:rPr>
            </w:pPr>
            <w:r>
              <w:rPr>
                <w:b/>
              </w:rPr>
              <w:t>Status</w:t>
            </w:r>
          </w:p>
        </w:tc>
      </w:tr>
      <w:tr w:rsidR="0016314E" w14:paraId="76975B04" w14:textId="77777777">
        <w:tc>
          <w:tcPr>
            <w:tcW w:w="1672" w:type="dxa"/>
            <w:shd w:val="clear" w:color="auto" w:fill="auto"/>
            <w:tcMar>
              <w:top w:w="100" w:type="dxa"/>
              <w:left w:w="100" w:type="dxa"/>
              <w:bottom w:w="100" w:type="dxa"/>
              <w:right w:w="100" w:type="dxa"/>
            </w:tcMar>
          </w:tcPr>
          <w:p w14:paraId="3ADF97CF" w14:textId="77777777" w:rsidR="0016314E" w:rsidRDefault="00035198">
            <w:pPr>
              <w:widowControl w:val="0"/>
              <w:pBdr>
                <w:top w:val="nil"/>
                <w:left w:val="nil"/>
                <w:bottom w:val="nil"/>
                <w:right w:val="nil"/>
                <w:between w:val="nil"/>
              </w:pBdr>
              <w:spacing w:after="0"/>
            </w:pPr>
            <w:r>
              <w:t>Delivery Board (DB)</w:t>
            </w:r>
          </w:p>
        </w:tc>
        <w:tc>
          <w:tcPr>
            <w:tcW w:w="4740" w:type="dxa"/>
            <w:shd w:val="clear" w:color="auto" w:fill="auto"/>
            <w:tcMar>
              <w:top w:w="100" w:type="dxa"/>
              <w:left w:w="100" w:type="dxa"/>
              <w:bottom w:w="100" w:type="dxa"/>
              <w:right w:w="100" w:type="dxa"/>
            </w:tcMar>
          </w:tcPr>
          <w:p w14:paraId="2ECFB625" w14:textId="77777777" w:rsidR="0016314E" w:rsidRDefault="00035198">
            <w:r>
              <w:rPr>
                <w:rFonts w:ascii="Calibri" w:eastAsia="Calibri" w:hAnsi="Calibri" w:cs="Calibri"/>
              </w:rPr>
              <w:t xml:space="preserve">The </w:t>
            </w:r>
            <w:r>
              <w:rPr>
                <w:rFonts w:ascii="Calibri" w:eastAsia="Calibri" w:hAnsi="Calibri" w:cs="Calibri"/>
                <w:b/>
              </w:rPr>
              <w:t>DB</w:t>
            </w:r>
            <w:r>
              <w:rPr>
                <w:rFonts w:ascii="Calibri" w:eastAsia="Calibri" w:hAnsi="Calibri" w:cs="Calibri"/>
              </w:rPr>
              <w:t xml:space="preserve"> is the IRIS body responsible for coordinating delivery of the eInfrastructure required to support the STFC Science activities. The DB will ensure resources are deployed and managed optimally to meet the requirements of all STFC science activities. Broad, </w:t>
            </w:r>
            <w:r>
              <w:rPr>
                <w:rFonts w:ascii="Calibri" w:eastAsia="Calibri" w:hAnsi="Calibri" w:cs="Calibri"/>
              </w:rPr>
              <w:t>representative membership from: existing eInfrastructures (GridPP, DiRAC, ALC...), Data Intensive activities (</w:t>
            </w:r>
            <w:proofErr w:type="spellStart"/>
            <w:r>
              <w:rPr>
                <w:rFonts w:ascii="Calibri" w:eastAsia="Calibri" w:hAnsi="Calibri" w:cs="Calibri"/>
              </w:rPr>
              <w:t>eg</w:t>
            </w:r>
            <w:proofErr w:type="spellEnd"/>
            <w:r>
              <w:rPr>
                <w:rFonts w:ascii="Calibri" w:eastAsia="Calibri" w:hAnsi="Calibri" w:cs="Calibri"/>
              </w:rPr>
              <w:t xml:space="preserve"> SKA, EUCLID, LHC), Infrastructure providers (</w:t>
            </w:r>
            <w:proofErr w:type="spellStart"/>
            <w:r>
              <w:rPr>
                <w:rFonts w:ascii="Calibri" w:eastAsia="Calibri" w:hAnsi="Calibri" w:cs="Calibri"/>
              </w:rPr>
              <w:t>eg</w:t>
            </w:r>
            <w:proofErr w:type="spellEnd"/>
            <w:r>
              <w:rPr>
                <w:rFonts w:ascii="Calibri" w:eastAsia="Calibri" w:hAnsi="Calibri" w:cs="Calibri"/>
              </w:rPr>
              <w:t xml:space="preserve"> SCD, </w:t>
            </w:r>
            <w:proofErr w:type="spellStart"/>
            <w:r>
              <w:rPr>
                <w:rFonts w:ascii="Calibri" w:eastAsia="Calibri" w:hAnsi="Calibri" w:cs="Calibri"/>
              </w:rPr>
              <w:t>Hartree</w:t>
            </w:r>
            <w:proofErr w:type="spellEnd"/>
            <w:r>
              <w:rPr>
                <w:rFonts w:ascii="Calibri" w:eastAsia="Calibri" w:hAnsi="Calibri" w:cs="Calibri"/>
              </w:rPr>
              <w:t>), attendance by others (</w:t>
            </w:r>
            <w:proofErr w:type="spellStart"/>
            <w:r>
              <w:rPr>
                <w:rFonts w:ascii="Calibri" w:eastAsia="Calibri" w:hAnsi="Calibri" w:cs="Calibri"/>
              </w:rPr>
              <w:t>eg</w:t>
            </w:r>
            <w:proofErr w:type="spellEnd"/>
            <w:r>
              <w:rPr>
                <w:rFonts w:ascii="Calibri" w:eastAsia="Calibri" w:hAnsi="Calibri" w:cs="Calibri"/>
              </w:rPr>
              <w:t xml:space="preserve"> Chair CAP)</w:t>
            </w:r>
          </w:p>
        </w:tc>
        <w:tc>
          <w:tcPr>
            <w:tcW w:w="1890" w:type="dxa"/>
            <w:shd w:val="clear" w:color="auto" w:fill="auto"/>
            <w:tcMar>
              <w:top w:w="100" w:type="dxa"/>
              <w:left w:w="100" w:type="dxa"/>
              <w:bottom w:w="100" w:type="dxa"/>
              <w:right w:w="100" w:type="dxa"/>
            </w:tcMar>
          </w:tcPr>
          <w:p w14:paraId="718B6A07" w14:textId="77777777" w:rsidR="0016314E" w:rsidRDefault="00035198">
            <w:pPr>
              <w:widowControl w:val="0"/>
              <w:pBdr>
                <w:top w:val="nil"/>
                <w:left w:val="nil"/>
                <w:bottom w:val="nil"/>
                <w:right w:val="nil"/>
                <w:between w:val="nil"/>
              </w:pBdr>
              <w:spacing w:after="0"/>
            </w:pPr>
            <w:r>
              <w:t>Chair: Project Director (Clarke)</w:t>
            </w:r>
          </w:p>
          <w:p w14:paraId="0C6F7E6A" w14:textId="77777777" w:rsidR="0016314E" w:rsidRDefault="00035198">
            <w:pPr>
              <w:widowControl w:val="0"/>
              <w:pBdr>
                <w:top w:val="nil"/>
                <w:left w:val="nil"/>
                <w:bottom w:val="nil"/>
                <w:right w:val="nil"/>
                <w:between w:val="nil"/>
              </w:pBdr>
              <w:spacing w:after="0"/>
            </w:pPr>
            <w:r>
              <w:t>Status: Act</w:t>
            </w:r>
            <w:r>
              <w:t>ive</w:t>
            </w:r>
            <w:r>
              <w:br/>
              <w:t>Freq: weekly</w:t>
            </w:r>
          </w:p>
          <w:p w14:paraId="2C516354" w14:textId="77777777" w:rsidR="0016314E" w:rsidRDefault="00035198">
            <w:pPr>
              <w:widowControl w:val="0"/>
              <w:pBdr>
                <w:top w:val="nil"/>
                <w:left w:val="nil"/>
                <w:bottom w:val="nil"/>
                <w:right w:val="nil"/>
                <w:between w:val="nil"/>
              </w:pBdr>
              <w:spacing w:after="0"/>
            </w:pPr>
            <w:proofErr w:type="spellStart"/>
            <w:r>
              <w:t>ToR</w:t>
            </w:r>
            <w:proofErr w:type="spellEnd"/>
            <w:r>
              <w:t>: Exists</w:t>
            </w:r>
          </w:p>
          <w:p w14:paraId="495C578B" w14:textId="77777777" w:rsidR="0016314E" w:rsidRDefault="0016314E">
            <w:pPr>
              <w:widowControl w:val="0"/>
              <w:pBdr>
                <w:top w:val="nil"/>
                <w:left w:val="nil"/>
                <w:bottom w:val="nil"/>
                <w:right w:val="nil"/>
                <w:between w:val="nil"/>
              </w:pBdr>
              <w:spacing w:after="0"/>
            </w:pPr>
          </w:p>
        </w:tc>
      </w:tr>
      <w:tr w:rsidR="0016314E" w14:paraId="7DC3CC1A" w14:textId="77777777">
        <w:tc>
          <w:tcPr>
            <w:tcW w:w="1672" w:type="dxa"/>
            <w:shd w:val="clear" w:color="auto" w:fill="auto"/>
            <w:tcMar>
              <w:top w:w="100" w:type="dxa"/>
              <w:left w:w="100" w:type="dxa"/>
              <w:bottom w:w="100" w:type="dxa"/>
              <w:right w:w="100" w:type="dxa"/>
            </w:tcMar>
          </w:tcPr>
          <w:p w14:paraId="278B9B65" w14:textId="77777777" w:rsidR="0016314E" w:rsidRDefault="00035198">
            <w:pPr>
              <w:widowControl w:val="0"/>
              <w:pBdr>
                <w:top w:val="nil"/>
                <w:left w:val="nil"/>
                <w:bottom w:val="nil"/>
                <w:right w:val="nil"/>
                <w:between w:val="nil"/>
              </w:pBdr>
              <w:spacing w:after="0"/>
            </w:pPr>
            <w:r>
              <w:t>Technical Working Group (TWG)</w:t>
            </w:r>
          </w:p>
        </w:tc>
        <w:tc>
          <w:tcPr>
            <w:tcW w:w="4740" w:type="dxa"/>
            <w:shd w:val="clear" w:color="auto" w:fill="auto"/>
            <w:tcMar>
              <w:top w:w="100" w:type="dxa"/>
              <w:left w:w="100" w:type="dxa"/>
              <w:bottom w:w="100" w:type="dxa"/>
              <w:right w:w="100" w:type="dxa"/>
            </w:tcMar>
          </w:tcPr>
          <w:p w14:paraId="31D53DBF" w14:textId="77777777" w:rsidR="0016314E" w:rsidRDefault="00035198">
            <w:pPr>
              <w:pBdr>
                <w:top w:val="none" w:sz="0" w:space="0" w:color="000000"/>
                <w:left w:val="none" w:sz="0" w:space="0" w:color="000000"/>
                <w:bottom w:val="none" w:sz="0" w:space="0" w:color="000000"/>
                <w:right w:val="none" w:sz="0" w:space="0" w:color="000000"/>
                <w:between w:val="none" w:sz="0" w:space="0" w:color="000000"/>
              </w:pBdr>
              <w:spacing w:after="240"/>
              <w:rPr>
                <w:rFonts w:ascii="Calibri" w:eastAsia="Calibri" w:hAnsi="Calibri" w:cs="Calibri"/>
              </w:rPr>
            </w:pPr>
            <w:r>
              <w:rPr>
                <w:rFonts w:ascii="Calibri" w:eastAsia="Calibri" w:hAnsi="Calibri" w:cs="Calibri"/>
              </w:rPr>
              <w:t>To ensure that the UKT0 meets the technical needs of its experimental community in order to deliver real benefit to STFC’s science community. Membership open to any collaboration member.</w:t>
            </w:r>
          </w:p>
          <w:p w14:paraId="5CAE89DF" w14:textId="77777777" w:rsidR="0016314E" w:rsidRDefault="0016314E">
            <w:pPr>
              <w:widowControl w:val="0"/>
              <w:pBdr>
                <w:top w:val="nil"/>
                <w:left w:val="nil"/>
                <w:bottom w:val="nil"/>
                <w:right w:val="nil"/>
                <w:between w:val="nil"/>
              </w:pBdr>
              <w:spacing w:after="0"/>
            </w:pPr>
          </w:p>
        </w:tc>
        <w:tc>
          <w:tcPr>
            <w:tcW w:w="1890" w:type="dxa"/>
            <w:shd w:val="clear" w:color="auto" w:fill="auto"/>
            <w:tcMar>
              <w:top w:w="100" w:type="dxa"/>
              <w:left w:w="100" w:type="dxa"/>
              <w:bottom w:w="100" w:type="dxa"/>
              <w:right w:w="100" w:type="dxa"/>
            </w:tcMar>
          </w:tcPr>
          <w:p w14:paraId="2EEC26C6" w14:textId="77777777" w:rsidR="0016314E" w:rsidRDefault="00035198">
            <w:pPr>
              <w:widowControl w:val="0"/>
              <w:pBdr>
                <w:top w:val="nil"/>
                <w:left w:val="nil"/>
                <w:bottom w:val="nil"/>
                <w:right w:val="nil"/>
                <w:between w:val="nil"/>
              </w:pBdr>
              <w:spacing w:after="0"/>
            </w:pPr>
            <w:r>
              <w:t>Chair: Technical Director (</w:t>
            </w:r>
            <w:proofErr w:type="spellStart"/>
            <w:r>
              <w:t>Sansum</w:t>
            </w:r>
            <w:proofErr w:type="spellEnd"/>
            <w:r>
              <w:t>)</w:t>
            </w:r>
          </w:p>
          <w:p w14:paraId="34984FF3" w14:textId="77777777" w:rsidR="0016314E" w:rsidRDefault="00035198">
            <w:pPr>
              <w:widowControl w:val="0"/>
              <w:pBdr>
                <w:top w:val="nil"/>
                <w:left w:val="nil"/>
                <w:bottom w:val="nil"/>
                <w:right w:val="nil"/>
                <w:between w:val="nil"/>
              </w:pBdr>
              <w:spacing w:after="0"/>
            </w:pPr>
            <w:r>
              <w:t>Status: Active</w:t>
            </w:r>
          </w:p>
          <w:p w14:paraId="523FE4D5" w14:textId="77777777" w:rsidR="0016314E" w:rsidRDefault="00035198">
            <w:pPr>
              <w:widowControl w:val="0"/>
              <w:pBdr>
                <w:top w:val="nil"/>
                <w:left w:val="nil"/>
                <w:bottom w:val="nil"/>
                <w:right w:val="nil"/>
                <w:between w:val="nil"/>
              </w:pBdr>
              <w:spacing w:after="0"/>
            </w:pPr>
            <w:r>
              <w:t xml:space="preserve">Freq: weekly </w:t>
            </w:r>
          </w:p>
          <w:p w14:paraId="783AAB1F" w14:textId="77777777" w:rsidR="0016314E" w:rsidRDefault="00035198">
            <w:pPr>
              <w:widowControl w:val="0"/>
              <w:pBdr>
                <w:top w:val="nil"/>
                <w:left w:val="nil"/>
                <w:bottom w:val="nil"/>
                <w:right w:val="nil"/>
                <w:between w:val="nil"/>
              </w:pBdr>
              <w:spacing w:after="0"/>
            </w:pPr>
            <w:proofErr w:type="spellStart"/>
            <w:r>
              <w:t>ToR</w:t>
            </w:r>
            <w:proofErr w:type="spellEnd"/>
            <w:r>
              <w:t>:</w:t>
            </w:r>
            <w:r>
              <w:t xml:space="preserve"> Exists</w:t>
            </w:r>
          </w:p>
        </w:tc>
      </w:tr>
      <w:tr w:rsidR="0016314E" w14:paraId="68C107EC" w14:textId="77777777">
        <w:tc>
          <w:tcPr>
            <w:tcW w:w="1672" w:type="dxa"/>
            <w:shd w:val="clear" w:color="auto" w:fill="auto"/>
            <w:tcMar>
              <w:top w:w="100" w:type="dxa"/>
              <w:left w:w="100" w:type="dxa"/>
              <w:bottom w:w="100" w:type="dxa"/>
              <w:right w:w="100" w:type="dxa"/>
            </w:tcMar>
          </w:tcPr>
          <w:p w14:paraId="5B7A0DC9" w14:textId="77777777" w:rsidR="0016314E" w:rsidRDefault="00035198">
            <w:pPr>
              <w:widowControl w:val="0"/>
              <w:pBdr>
                <w:top w:val="nil"/>
                <w:left w:val="nil"/>
                <w:bottom w:val="nil"/>
                <w:right w:val="nil"/>
                <w:between w:val="nil"/>
              </w:pBdr>
              <w:spacing w:after="0"/>
            </w:pPr>
            <w:r>
              <w:t>Resource Scrutiny and Allocation Group (RSA)</w:t>
            </w:r>
          </w:p>
        </w:tc>
        <w:tc>
          <w:tcPr>
            <w:tcW w:w="4740" w:type="dxa"/>
            <w:shd w:val="clear" w:color="auto" w:fill="auto"/>
            <w:tcMar>
              <w:top w:w="100" w:type="dxa"/>
              <w:left w:w="100" w:type="dxa"/>
              <w:bottom w:w="100" w:type="dxa"/>
              <w:right w:w="100" w:type="dxa"/>
            </w:tcMar>
          </w:tcPr>
          <w:p w14:paraId="746FBA19" w14:textId="77777777" w:rsidR="0016314E" w:rsidRDefault="00035198">
            <w:pPr>
              <w:rPr>
                <w:rFonts w:ascii="Calibri" w:eastAsia="Calibri" w:hAnsi="Calibri" w:cs="Calibri"/>
              </w:rPr>
            </w:pPr>
            <w:r>
              <w:rPr>
                <w:rFonts w:ascii="Calibri" w:eastAsia="Calibri" w:hAnsi="Calibri" w:cs="Calibri"/>
              </w:rPr>
              <w:t xml:space="preserve">The RAC scrutinises the resource requests from user activities, and recommend allocations to the DB. </w:t>
            </w:r>
          </w:p>
          <w:p w14:paraId="7D43485D" w14:textId="77777777" w:rsidR="0016314E" w:rsidRDefault="0016314E">
            <w:pPr>
              <w:widowControl w:val="0"/>
              <w:pBdr>
                <w:top w:val="nil"/>
                <w:left w:val="nil"/>
                <w:bottom w:val="nil"/>
                <w:right w:val="nil"/>
                <w:between w:val="nil"/>
              </w:pBdr>
              <w:spacing w:after="0"/>
            </w:pPr>
          </w:p>
        </w:tc>
        <w:tc>
          <w:tcPr>
            <w:tcW w:w="1890" w:type="dxa"/>
            <w:shd w:val="clear" w:color="auto" w:fill="auto"/>
            <w:tcMar>
              <w:top w:w="100" w:type="dxa"/>
              <w:left w:w="100" w:type="dxa"/>
              <w:bottom w:w="100" w:type="dxa"/>
              <w:right w:w="100" w:type="dxa"/>
            </w:tcMar>
          </w:tcPr>
          <w:p w14:paraId="193C1E95" w14:textId="77777777" w:rsidR="0016314E" w:rsidRDefault="00035198">
            <w:pPr>
              <w:widowControl w:val="0"/>
              <w:pBdr>
                <w:top w:val="nil"/>
                <w:left w:val="nil"/>
                <w:bottom w:val="nil"/>
                <w:right w:val="nil"/>
                <w:between w:val="nil"/>
              </w:pBdr>
              <w:spacing w:after="0"/>
            </w:pPr>
            <w:r>
              <w:t>Chair: Yates</w:t>
            </w:r>
          </w:p>
          <w:p w14:paraId="326E0B47" w14:textId="77777777" w:rsidR="0016314E" w:rsidRDefault="00035198">
            <w:pPr>
              <w:widowControl w:val="0"/>
              <w:pBdr>
                <w:top w:val="nil"/>
                <w:left w:val="nil"/>
                <w:bottom w:val="nil"/>
                <w:right w:val="nil"/>
                <w:between w:val="nil"/>
              </w:pBdr>
              <w:spacing w:after="0"/>
            </w:pPr>
            <w:r>
              <w:t>Status: Forming</w:t>
            </w:r>
          </w:p>
          <w:p w14:paraId="42B371C4" w14:textId="77777777" w:rsidR="0016314E" w:rsidRDefault="00035198">
            <w:pPr>
              <w:widowControl w:val="0"/>
              <w:pBdr>
                <w:top w:val="nil"/>
                <w:left w:val="nil"/>
                <w:bottom w:val="nil"/>
                <w:right w:val="nil"/>
                <w:between w:val="nil"/>
              </w:pBdr>
              <w:spacing w:after="0"/>
              <w:rPr>
                <w:highlight w:val="yellow"/>
              </w:rPr>
            </w:pPr>
            <w:r>
              <w:rPr>
                <w:highlight w:val="yellow"/>
              </w:rPr>
              <w:t>Frequency: Quarterly?</w:t>
            </w:r>
          </w:p>
          <w:p w14:paraId="79205746" w14:textId="77777777" w:rsidR="0016314E" w:rsidRDefault="00035198">
            <w:pPr>
              <w:widowControl w:val="0"/>
              <w:pBdr>
                <w:top w:val="nil"/>
                <w:left w:val="nil"/>
                <w:bottom w:val="nil"/>
                <w:right w:val="nil"/>
                <w:between w:val="nil"/>
              </w:pBdr>
              <w:spacing w:after="0"/>
              <w:rPr>
                <w:highlight w:val="yellow"/>
              </w:rPr>
            </w:pPr>
            <w:proofErr w:type="spellStart"/>
            <w:r>
              <w:rPr>
                <w:highlight w:val="yellow"/>
              </w:rPr>
              <w:t>ToR</w:t>
            </w:r>
            <w:proofErr w:type="spellEnd"/>
            <w:r>
              <w:rPr>
                <w:highlight w:val="yellow"/>
              </w:rPr>
              <w:t>: No</w:t>
            </w:r>
          </w:p>
        </w:tc>
      </w:tr>
      <w:tr w:rsidR="0016314E" w14:paraId="68B98EFE" w14:textId="77777777">
        <w:tc>
          <w:tcPr>
            <w:tcW w:w="1672" w:type="dxa"/>
            <w:shd w:val="clear" w:color="auto" w:fill="auto"/>
            <w:tcMar>
              <w:top w:w="100" w:type="dxa"/>
              <w:left w:w="100" w:type="dxa"/>
              <w:bottom w:w="100" w:type="dxa"/>
              <w:right w:w="100" w:type="dxa"/>
            </w:tcMar>
          </w:tcPr>
          <w:p w14:paraId="5059CD5D" w14:textId="77777777" w:rsidR="0016314E" w:rsidRDefault="00035198">
            <w:pPr>
              <w:widowControl w:val="0"/>
              <w:pBdr>
                <w:top w:val="nil"/>
                <w:left w:val="nil"/>
                <w:bottom w:val="nil"/>
                <w:right w:val="nil"/>
                <w:between w:val="nil"/>
              </w:pBdr>
              <w:spacing w:after="0"/>
            </w:pPr>
            <w:r>
              <w:t>Science Advisory Board (SAB)</w:t>
            </w:r>
          </w:p>
        </w:tc>
        <w:tc>
          <w:tcPr>
            <w:tcW w:w="4740" w:type="dxa"/>
            <w:shd w:val="clear" w:color="auto" w:fill="auto"/>
            <w:tcMar>
              <w:top w:w="100" w:type="dxa"/>
              <w:left w:w="100" w:type="dxa"/>
              <w:bottom w:w="100" w:type="dxa"/>
              <w:right w:w="100" w:type="dxa"/>
            </w:tcMar>
          </w:tcPr>
          <w:p w14:paraId="20284074" w14:textId="77777777" w:rsidR="0016314E" w:rsidRDefault="00035198">
            <w:r>
              <w:rPr>
                <w:rFonts w:ascii="Calibri" w:eastAsia="Calibri" w:hAnsi="Calibri" w:cs="Calibri"/>
              </w:rPr>
              <w:t xml:space="preserve">The SAB is </w:t>
            </w:r>
            <w:proofErr w:type="gramStart"/>
            <w:r>
              <w:rPr>
                <w:rFonts w:ascii="Calibri" w:eastAsia="Calibri" w:hAnsi="Calibri" w:cs="Calibri"/>
              </w:rPr>
              <w:t>represents</w:t>
            </w:r>
            <w:proofErr w:type="gramEnd"/>
            <w:r>
              <w:rPr>
                <w:rFonts w:ascii="Calibri" w:eastAsia="Calibri" w:hAnsi="Calibri" w:cs="Calibri"/>
              </w:rPr>
              <w:t xml:space="preserve"> the end-user science projects/activities/users across STFC Science. Its role is to provide guidance to the DB on the eInfrastructure needs of the science users and provide the DB with </w:t>
            </w:r>
            <w:proofErr w:type="gramStart"/>
            <w:r>
              <w:rPr>
                <w:rFonts w:ascii="Calibri" w:eastAsia="Calibri" w:hAnsi="Calibri" w:cs="Calibri"/>
              </w:rPr>
              <w:t>feedback  on</w:t>
            </w:r>
            <w:proofErr w:type="gramEnd"/>
            <w:r>
              <w:rPr>
                <w:rFonts w:ascii="Calibri" w:eastAsia="Calibri" w:hAnsi="Calibri" w:cs="Calibri"/>
              </w:rPr>
              <w:t xml:space="preserve"> “real wo</w:t>
            </w:r>
            <w:r>
              <w:rPr>
                <w:rFonts w:ascii="Calibri" w:eastAsia="Calibri" w:hAnsi="Calibri" w:cs="Calibri"/>
              </w:rPr>
              <w:t xml:space="preserve">rld” experience  of the IRIS infrastructure. Representative membership by project and experiment scientists. </w:t>
            </w:r>
          </w:p>
        </w:tc>
        <w:tc>
          <w:tcPr>
            <w:tcW w:w="1890" w:type="dxa"/>
            <w:shd w:val="clear" w:color="auto" w:fill="auto"/>
            <w:tcMar>
              <w:top w:w="100" w:type="dxa"/>
              <w:left w:w="100" w:type="dxa"/>
              <w:bottom w:w="100" w:type="dxa"/>
              <w:right w:w="100" w:type="dxa"/>
            </w:tcMar>
          </w:tcPr>
          <w:p w14:paraId="433D698C" w14:textId="77777777" w:rsidR="0016314E" w:rsidRDefault="00035198">
            <w:pPr>
              <w:widowControl w:val="0"/>
              <w:pBdr>
                <w:top w:val="nil"/>
                <w:left w:val="nil"/>
                <w:bottom w:val="nil"/>
                <w:right w:val="nil"/>
                <w:between w:val="nil"/>
              </w:pBdr>
              <w:spacing w:after="0"/>
            </w:pPr>
            <w:r>
              <w:t>Chair: TBC</w:t>
            </w:r>
          </w:p>
          <w:p w14:paraId="2606FDAC" w14:textId="77777777" w:rsidR="0016314E" w:rsidRDefault="00035198">
            <w:pPr>
              <w:widowControl w:val="0"/>
              <w:pBdr>
                <w:top w:val="nil"/>
                <w:left w:val="nil"/>
                <w:bottom w:val="nil"/>
                <w:right w:val="nil"/>
                <w:between w:val="nil"/>
              </w:pBdr>
              <w:spacing w:after="0"/>
            </w:pPr>
            <w:r>
              <w:t>Status: No</w:t>
            </w:r>
          </w:p>
          <w:p w14:paraId="753E72D8" w14:textId="77777777" w:rsidR="0016314E" w:rsidRDefault="00035198">
            <w:pPr>
              <w:widowControl w:val="0"/>
              <w:pBdr>
                <w:top w:val="nil"/>
                <w:left w:val="nil"/>
                <w:bottom w:val="nil"/>
                <w:right w:val="nil"/>
                <w:between w:val="nil"/>
              </w:pBdr>
              <w:spacing w:after="0"/>
            </w:pPr>
            <w:r>
              <w:t xml:space="preserve">Freq: 6 </w:t>
            </w:r>
            <w:proofErr w:type="gramStart"/>
            <w:r>
              <w:t>monthly</w:t>
            </w:r>
            <w:proofErr w:type="gramEnd"/>
          </w:p>
          <w:p w14:paraId="77C8AD9E" w14:textId="77777777" w:rsidR="0016314E" w:rsidRDefault="00035198">
            <w:pPr>
              <w:widowControl w:val="0"/>
              <w:pBdr>
                <w:top w:val="nil"/>
                <w:left w:val="nil"/>
                <w:bottom w:val="nil"/>
                <w:right w:val="nil"/>
                <w:between w:val="nil"/>
              </w:pBdr>
              <w:spacing w:after="0"/>
            </w:pPr>
            <w:proofErr w:type="spellStart"/>
            <w:r>
              <w:t>ToR</w:t>
            </w:r>
            <w:proofErr w:type="spellEnd"/>
            <w:r>
              <w:t>: Yes</w:t>
            </w:r>
          </w:p>
        </w:tc>
      </w:tr>
      <w:tr w:rsidR="0016314E" w14:paraId="3EDDB1F4" w14:textId="77777777">
        <w:tc>
          <w:tcPr>
            <w:tcW w:w="1672" w:type="dxa"/>
            <w:shd w:val="clear" w:color="auto" w:fill="auto"/>
            <w:tcMar>
              <w:top w:w="100" w:type="dxa"/>
              <w:left w:w="100" w:type="dxa"/>
              <w:bottom w:w="100" w:type="dxa"/>
              <w:right w:w="100" w:type="dxa"/>
            </w:tcMar>
          </w:tcPr>
          <w:p w14:paraId="31AF8535" w14:textId="77777777" w:rsidR="0016314E" w:rsidRDefault="00035198">
            <w:pPr>
              <w:widowControl w:val="0"/>
              <w:pBdr>
                <w:top w:val="nil"/>
                <w:left w:val="nil"/>
                <w:bottom w:val="nil"/>
                <w:right w:val="nil"/>
                <w:between w:val="nil"/>
              </w:pBdr>
              <w:spacing w:after="0"/>
            </w:pPr>
            <w:r>
              <w:t>STFC Oversight Committee</w:t>
            </w:r>
          </w:p>
        </w:tc>
        <w:tc>
          <w:tcPr>
            <w:tcW w:w="4740" w:type="dxa"/>
            <w:shd w:val="clear" w:color="auto" w:fill="auto"/>
            <w:tcMar>
              <w:top w:w="100" w:type="dxa"/>
              <w:left w:w="100" w:type="dxa"/>
              <w:bottom w:w="100" w:type="dxa"/>
              <w:right w:w="100" w:type="dxa"/>
            </w:tcMar>
          </w:tcPr>
          <w:p w14:paraId="3596216A" w14:textId="77777777" w:rsidR="0016314E" w:rsidRDefault="00035198">
            <w:pPr>
              <w:rPr>
                <w:rFonts w:ascii="Calibri" w:eastAsia="Calibri" w:hAnsi="Calibri" w:cs="Calibri"/>
              </w:rPr>
            </w:pPr>
            <w:r>
              <w:rPr>
                <w:rFonts w:ascii="Calibri" w:eastAsia="Calibri" w:hAnsi="Calibri" w:cs="Calibri"/>
              </w:rPr>
              <w:t xml:space="preserve">IRIS identified the need for external oversight, </w:t>
            </w:r>
            <w:r>
              <w:rPr>
                <w:rFonts w:ascii="Calibri" w:eastAsia="Calibri" w:hAnsi="Calibri" w:cs="Calibri"/>
              </w:rPr>
              <w:lastRenderedPageBreak/>
              <w:t>which is the subject of this paper</w:t>
            </w:r>
          </w:p>
        </w:tc>
        <w:tc>
          <w:tcPr>
            <w:tcW w:w="1890" w:type="dxa"/>
            <w:shd w:val="clear" w:color="auto" w:fill="auto"/>
            <w:tcMar>
              <w:top w:w="100" w:type="dxa"/>
              <w:left w:w="100" w:type="dxa"/>
              <w:bottom w:w="100" w:type="dxa"/>
              <w:right w:w="100" w:type="dxa"/>
            </w:tcMar>
          </w:tcPr>
          <w:p w14:paraId="5B8CAD35" w14:textId="77777777" w:rsidR="0016314E" w:rsidRDefault="00035198">
            <w:pPr>
              <w:widowControl w:val="0"/>
              <w:pBdr>
                <w:top w:val="nil"/>
                <w:left w:val="nil"/>
                <w:bottom w:val="nil"/>
                <w:right w:val="nil"/>
                <w:between w:val="nil"/>
              </w:pBdr>
              <w:spacing w:after="0"/>
            </w:pPr>
            <w:r>
              <w:lastRenderedPageBreak/>
              <w:t>See proposal above</w:t>
            </w:r>
          </w:p>
        </w:tc>
      </w:tr>
    </w:tbl>
    <w:p w14:paraId="5A00C677" w14:textId="77777777" w:rsidR="0016314E" w:rsidRDefault="0016314E"/>
    <w:p w14:paraId="6ACAA17D" w14:textId="77777777" w:rsidR="0016314E" w:rsidRDefault="00035198">
      <w:r>
        <w:rPr>
          <w:rFonts w:ascii="Calibri" w:eastAsia="Calibri" w:hAnsi="Calibri" w:cs="Calibri"/>
          <w:noProof/>
        </w:rPr>
        <w:drawing>
          <wp:inline distT="0" distB="0" distL="0" distR="0" wp14:anchorId="0D81153B" wp14:editId="2C183653">
            <wp:extent cx="5270500" cy="37179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270500" cy="3717925"/>
                    </a:xfrm>
                    <a:prstGeom prst="rect">
                      <a:avLst/>
                    </a:prstGeom>
                    <a:ln/>
                  </pic:spPr>
                </pic:pic>
              </a:graphicData>
            </a:graphic>
          </wp:inline>
        </w:drawing>
      </w:r>
    </w:p>
    <w:p w14:paraId="7AA22594" w14:textId="77777777" w:rsidR="0016314E" w:rsidRDefault="00035198">
      <w:pPr>
        <w:pStyle w:val="Heading2"/>
      </w:pPr>
      <w:bookmarkStart w:id="4" w:name="_pnshexhn9cji" w:colFirst="0" w:colLast="0"/>
      <w:bookmarkEnd w:id="4"/>
      <w:r>
        <w:t>STFC Project Management Controls</w:t>
      </w:r>
    </w:p>
    <w:p w14:paraId="398891A2" w14:textId="77777777" w:rsidR="0016314E" w:rsidRDefault="0016314E"/>
    <w:tbl>
      <w:tblPr>
        <w:tblStyle w:val="a1"/>
        <w:tblW w:w="9480"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5"/>
        <w:gridCol w:w="1605"/>
        <w:gridCol w:w="1215"/>
        <w:gridCol w:w="5505"/>
      </w:tblGrid>
      <w:tr w:rsidR="0016314E" w14:paraId="29AB92C6" w14:textId="77777777">
        <w:tc>
          <w:tcPr>
            <w:tcW w:w="1155" w:type="dxa"/>
            <w:shd w:val="clear" w:color="auto" w:fill="auto"/>
            <w:tcMar>
              <w:top w:w="100" w:type="dxa"/>
              <w:left w:w="100" w:type="dxa"/>
              <w:bottom w:w="100" w:type="dxa"/>
              <w:right w:w="100" w:type="dxa"/>
            </w:tcMar>
          </w:tcPr>
          <w:p w14:paraId="4747B8DC" w14:textId="77777777" w:rsidR="0016314E" w:rsidRDefault="00035198">
            <w:pPr>
              <w:widowControl w:val="0"/>
              <w:pBdr>
                <w:top w:val="nil"/>
                <w:left w:val="nil"/>
                <w:bottom w:val="nil"/>
                <w:right w:val="nil"/>
                <w:between w:val="nil"/>
              </w:pBdr>
              <w:spacing w:after="0"/>
            </w:pPr>
            <w:r>
              <w:t>Entity</w:t>
            </w:r>
          </w:p>
        </w:tc>
        <w:tc>
          <w:tcPr>
            <w:tcW w:w="1605" w:type="dxa"/>
            <w:shd w:val="clear" w:color="auto" w:fill="auto"/>
            <w:tcMar>
              <w:top w:w="100" w:type="dxa"/>
              <w:left w:w="100" w:type="dxa"/>
              <w:bottom w:w="100" w:type="dxa"/>
              <w:right w:w="100" w:type="dxa"/>
            </w:tcMar>
          </w:tcPr>
          <w:p w14:paraId="258BB4ED" w14:textId="77777777" w:rsidR="0016314E" w:rsidRDefault="00035198">
            <w:pPr>
              <w:widowControl w:val="0"/>
              <w:pBdr>
                <w:top w:val="nil"/>
                <w:left w:val="nil"/>
                <w:bottom w:val="nil"/>
                <w:right w:val="nil"/>
                <w:between w:val="nil"/>
              </w:pBdr>
              <w:spacing w:after="0"/>
            </w:pPr>
            <w:r>
              <w:t>membership</w:t>
            </w:r>
          </w:p>
        </w:tc>
        <w:tc>
          <w:tcPr>
            <w:tcW w:w="1215" w:type="dxa"/>
            <w:shd w:val="clear" w:color="auto" w:fill="auto"/>
            <w:tcMar>
              <w:top w:w="100" w:type="dxa"/>
              <w:left w:w="100" w:type="dxa"/>
              <w:bottom w:w="100" w:type="dxa"/>
              <w:right w:w="100" w:type="dxa"/>
            </w:tcMar>
          </w:tcPr>
          <w:p w14:paraId="7BA8BC3D" w14:textId="77777777" w:rsidR="0016314E" w:rsidRDefault="00035198">
            <w:pPr>
              <w:widowControl w:val="0"/>
              <w:pBdr>
                <w:top w:val="nil"/>
                <w:left w:val="nil"/>
                <w:bottom w:val="nil"/>
                <w:right w:val="nil"/>
                <w:between w:val="nil"/>
              </w:pBdr>
              <w:spacing w:after="0"/>
            </w:pPr>
            <w:r>
              <w:t>Frequency</w:t>
            </w:r>
          </w:p>
        </w:tc>
        <w:tc>
          <w:tcPr>
            <w:tcW w:w="5505" w:type="dxa"/>
            <w:shd w:val="clear" w:color="auto" w:fill="auto"/>
            <w:tcMar>
              <w:top w:w="100" w:type="dxa"/>
              <w:left w:w="100" w:type="dxa"/>
              <w:bottom w:w="100" w:type="dxa"/>
              <w:right w:w="100" w:type="dxa"/>
            </w:tcMar>
          </w:tcPr>
          <w:p w14:paraId="134A6FB1" w14:textId="77777777" w:rsidR="0016314E" w:rsidRDefault="00035198">
            <w:pPr>
              <w:widowControl w:val="0"/>
              <w:pBdr>
                <w:top w:val="nil"/>
                <w:left w:val="nil"/>
                <w:bottom w:val="nil"/>
                <w:right w:val="nil"/>
                <w:between w:val="nil"/>
              </w:pBdr>
              <w:spacing w:after="0"/>
            </w:pPr>
            <w:r>
              <w:t xml:space="preserve">Role / </w:t>
            </w:r>
            <w:proofErr w:type="spellStart"/>
            <w:r>
              <w:t>ToR</w:t>
            </w:r>
            <w:proofErr w:type="spellEnd"/>
          </w:p>
        </w:tc>
      </w:tr>
      <w:tr w:rsidR="0016314E" w14:paraId="6CDA2C93" w14:textId="77777777">
        <w:tc>
          <w:tcPr>
            <w:tcW w:w="1155" w:type="dxa"/>
            <w:shd w:val="clear" w:color="auto" w:fill="auto"/>
            <w:tcMar>
              <w:top w:w="100" w:type="dxa"/>
              <w:left w:w="100" w:type="dxa"/>
              <w:bottom w:w="100" w:type="dxa"/>
              <w:right w:w="100" w:type="dxa"/>
            </w:tcMar>
          </w:tcPr>
          <w:p w14:paraId="362A759F" w14:textId="77777777" w:rsidR="0016314E" w:rsidRDefault="00035198">
            <w:pPr>
              <w:widowControl w:val="0"/>
              <w:pBdr>
                <w:top w:val="nil"/>
                <w:left w:val="nil"/>
                <w:bottom w:val="nil"/>
                <w:right w:val="nil"/>
                <w:between w:val="nil"/>
              </w:pBdr>
              <w:spacing w:after="0"/>
              <w:rPr>
                <w:sz w:val="20"/>
                <w:szCs w:val="20"/>
              </w:rPr>
            </w:pPr>
            <w:r>
              <w:rPr>
                <w:sz w:val="20"/>
                <w:szCs w:val="20"/>
              </w:rPr>
              <w:t>Risk Assurance Group (RAG)</w:t>
            </w:r>
          </w:p>
        </w:tc>
        <w:tc>
          <w:tcPr>
            <w:tcW w:w="1605" w:type="dxa"/>
            <w:shd w:val="clear" w:color="auto" w:fill="auto"/>
            <w:tcMar>
              <w:top w:w="100" w:type="dxa"/>
              <w:left w:w="100" w:type="dxa"/>
              <w:bottom w:w="100" w:type="dxa"/>
              <w:right w:w="100" w:type="dxa"/>
            </w:tcMar>
          </w:tcPr>
          <w:p w14:paraId="15EF1760" w14:textId="77777777" w:rsidR="0016314E" w:rsidRDefault="00035198">
            <w:pPr>
              <w:widowControl w:val="0"/>
              <w:pBdr>
                <w:top w:val="nil"/>
                <w:left w:val="nil"/>
                <w:bottom w:val="nil"/>
                <w:right w:val="nil"/>
                <w:between w:val="nil"/>
              </w:pBdr>
              <w:spacing w:after="0"/>
              <w:rPr>
                <w:sz w:val="20"/>
                <w:szCs w:val="20"/>
              </w:rPr>
            </w:pPr>
            <w:r>
              <w:rPr>
                <w:sz w:val="20"/>
                <w:szCs w:val="20"/>
              </w:rPr>
              <w:t>Representation from All STFC departments</w:t>
            </w:r>
          </w:p>
        </w:tc>
        <w:tc>
          <w:tcPr>
            <w:tcW w:w="1215" w:type="dxa"/>
            <w:shd w:val="clear" w:color="auto" w:fill="auto"/>
            <w:tcMar>
              <w:top w:w="100" w:type="dxa"/>
              <w:left w:w="100" w:type="dxa"/>
              <w:bottom w:w="100" w:type="dxa"/>
              <w:right w:w="100" w:type="dxa"/>
            </w:tcMar>
          </w:tcPr>
          <w:p w14:paraId="106083B6" w14:textId="77777777" w:rsidR="0016314E" w:rsidRDefault="00035198">
            <w:pPr>
              <w:widowControl w:val="0"/>
              <w:pBdr>
                <w:top w:val="nil"/>
                <w:left w:val="nil"/>
                <w:bottom w:val="nil"/>
                <w:right w:val="nil"/>
                <w:between w:val="nil"/>
              </w:pBdr>
              <w:spacing w:after="0"/>
              <w:rPr>
                <w:rFonts w:ascii="Arial" w:eastAsia="Arial" w:hAnsi="Arial" w:cs="Arial"/>
                <w:sz w:val="20"/>
                <w:szCs w:val="20"/>
              </w:rPr>
            </w:pPr>
            <w:r>
              <w:rPr>
                <w:rFonts w:ascii="Arial" w:eastAsia="Arial" w:hAnsi="Arial" w:cs="Arial"/>
                <w:sz w:val="20"/>
                <w:szCs w:val="20"/>
              </w:rPr>
              <w:t>Quarterly</w:t>
            </w:r>
          </w:p>
        </w:tc>
        <w:tc>
          <w:tcPr>
            <w:tcW w:w="5505" w:type="dxa"/>
            <w:shd w:val="clear" w:color="auto" w:fill="auto"/>
            <w:tcMar>
              <w:top w:w="100" w:type="dxa"/>
              <w:left w:w="100" w:type="dxa"/>
              <w:bottom w:w="100" w:type="dxa"/>
              <w:right w:w="100" w:type="dxa"/>
            </w:tcMar>
          </w:tcPr>
          <w:p w14:paraId="61A99BAE" w14:textId="77777777" w:rsidR="0016314E" w:rsidRDefault="00035198">
            <w:pPr>
              <w:widowControl w:val="0"/>
              <w:pBdr>
                <w:top w:val="nil"/>
                <w:left w:val="nil"/>
                <w:bottom w:val="nil"/>
                <w:right w:val="nil"/>
                <w:between w:val="nil"/>
              </w:pBdr>
              <w:spacing w:after="0"/>
              <w:rPr>
                <w:rFonts w:ascii="Arial" w:eastAsia="Arial" w:hAnsi="Arial" w:cs="Arial"/>
                <w:sz w:val="20"/>
                <w:szCs w:val="20"/>
              </w:rPr>
            </w:pPr>
            <w:r>
              <w:rPr>
                <w:rFonts w:ascii="Arial" w:eastAsia="Arial" w:hAnsi="Arial" w:cs="Arial"/>
                <w:sz w:val="20"/>
                <w:szCs w:val="20"/>
              </w:rPr>
              <w:t>To support and oversee risk management in STFC and embed within operational activities. Monitors</w:t>
            </w:r>
          </w:p>
          <w:p w14:paraId="42C655C0" w14:textId="77777777" w:rsidR="0016314E" w:rsidRDefault="00035198">
            <w:pPr>
              <w:widowControl w:val="0"/>
              <w:pBdr>
                <w:top w:val="nil"/>
                <w:left w:val="nil"/>
                <w:bottom w:val="nil"/>
                <w:right w:val="nil"/>
                <w:between w:val="nil"/>
              </w:pBdr>
              <w:spacing w:after="0"/>
              <w:rPr>
                <w:rFonts w:ascii="Arial" w:eastAsia="Arial" w:hAnsi="Arial" w:cs="Arial"/>
                <w:sz w:val="20"/>
                <w:szCs w:val="20"/>
              </w:rPr>
            </w:pPr>
            <w:r>
              <w:rPr>
                <w:rFonts w:ascii="Arial" w:eastAsia="Arial" w:hAnsi="Arial" w:cs="Arial"/>
                <w:sz w:val="20"/>
                <w:szCs w:val="20"/>
              </w:rPr>
              <w:t>corporate and departmental/operational</w:t>
            </w:r>
          </w:p>
          <w:p w14:paraId="4DD48409" w14:textId="77777777" w:rsidR="0016314E" w:rsidRDefault="00035198">
            <w:pPr>
              <w:widowControl w:val="0"/>
              <w:pBdr>
                <w:top w:val="nil"/>
                <w:left w:val="nil"/>
                <w:bottom w:val="nil"/>
                <w:right w:val="nil"/>
                <w:between w:val="nil"/>
              </w:pBdr>
              <w:spacing w:after="0"/>
              <w:rPr>
                <w:sz w:val="20"/>
                <w:szCs w:val="20"/>
              </w:rPr>
            </w:pPr>
            <w:r>
              <w:rPr>
                <w:rFonts w:ascii="Arial" w:eastAsia="Arial" w:hAnsi="Arial" w:cs="Arial"/>
                <w:sz w:val="20"/>
                <w:szCs w:val="20"/>
              </w:rPr>
              <w:t>risks through review of department risk registers</w:t>
            </w:r>
          </w:p>
        </w:tc>
      </w:tr>
      <w:tr w:rsidR="0016314E" w14:paraId="31881E4D" w14:textId="77777777">
        <w:tc>
          <w:tcPr>
            <w:tcW w:w="1155" w:type="dxa"/>
            <w:shd w:val="clear" w:color="auto" w:fill="auto"/>
            <w:tcMar>
              <w:top w:w="100" w:type="dxa"/>
              <w:left w:w="100" w:type="dxa"/>
              <w:bottom w:w="100" w:type="dxa"/>
              <w:right w:w="100" w:type="dxa"/>
            </w:tcMar>
          </w:tcPr>
          <w:p w14:paraId="08ED0568" w14:textId="77777777" w:rsidR="0016314E" w:rsidRDefault="00035198">
            <w:pPr>
              <w:widowControl w:val="0"/>
              <w:pBdr>
                <w:top w:val="nil"/>
                <w:left w:val="nil"/>
                <w:bottom w:val="nil"/>
                <w:right w:val="nil"/>
                <w:between w:val="nil"/>
              </w:pBdr>
              <w:spacing w:after="0"/>
              <w:rPr>
                <w:sz w:val="20"/>
                <w:szCs w:val="20"/>
              </w:rPr>
            </w:pPr>
            <w:r>
              <w:rPr>
                <w:sz w:val="20"/>
                <w:szCs w:val="20"/>
              </w:rPr>
              <w:t>Project review Committee</w:t>
            </w:r>
          </w:p>
        </w:tc>
        <w:tc>
          <w:tcPr>
            <w:tcW w:w="1605" w:type="dxa"/>
            <w:shd w:val="clear" w:color="auto" w:fill="auto"/>
            <w:tcMar>
              <w:top w:w="100" w:type="dxa"/>
              <w:left w:w="100" w:type="dxa"/>
              <w:bottom w:w="100" w:type="dxa"/>
              <w:right w:w="100" w:type="dxa"/>
            </w:tcMar>
          </w:tcPr>
          <w:p w14:paraId="07F51FF5" w14:textId="77777777" w:rsidR="0016314E" w:rsidRDefault="00035198">
            <w:pPr>
              <w:widowControl w:val="0"/>
              <w:spacing w:after="0"/>
              <w:rPr>
                <w:sz w:val="20"/>
                <w:szCs w:val="20"/>
              </w:rPr>
            </w:pPr>
            <w:r>
              <w:rPr>
                <w:sz w:val="20"/>
                <w:szCs w:val="20"/>
              </w:rPr>
              <w:t>PRC membership comprises senior experts from each STFC Directorate and relevant departments.</w:t>
            </w:r>
          </w:p>
        </w:tc>
        <w:tc>
          <w:tcPr>
            <w:tcW w:w="1215" w:type="dxa"/>
            <w:shd w:val="clear" w:color="auto" w:fill="auto"/>
            <w:tcMar>
              <w:top w:w="100" w:type="dxa"/>
              <w:left w:w="100" w:type="dxa"/>
              <w:bottom w:w="100" w:type="dxa"/>
              <w:right w:w="100" w:type="dxa"/>
            </w:tcMar>
          </w:tcPr>
          <w:p w14:paraId="61D79DD1" w14:textId="77777777" w:rsidR="0016314E" w:rsidRDefault="00035198">
            <w:pPr>
              <w:widowControl w:val="0"/>
              <w:pBdr>
                <w:top w:val="nil"/>
                <w:left w:val="nil"/>
                <w:bottom w:val="nil"/>
                <w:right w:val="nil"/>
                <w:between w:val="nil"/>
              </w:pBdr>
              <w:spacing w:after="0"/>
              <w:rPr>
                <w:sz w:val="20"/>
                <w:szCs w:val="20"/>
              </w:rPr>
            </w:pPr>
            <w:r>
              <w:rPr>
                <w:sz w:val="20"/>
                <w:szCs w:val="20"/>
              </w:rPr>
              <w:t>Monthly</w:t>
            </w:r>
          </w:p>
        </w:tc>
        <w:tc>
          <w:tcPr>
            <w:tcW w:w="5505" w:type="dxa"/>
            <w:shd w:val="clear" w:color="auto" w:fill="auto"/>
            <w:tcMar>
              <w:top w:w="100" w:type="dxa"/>
              <w:left w:w="100" w:type="dxa"/>
              <w:bottom w:w="100" w:type="dxa"/>
              <w:right w:w="100" w:type="dxa"/>
            </w:tcMar>
          </w:tcPr>
          <w:p w14:paraId="27CE5463" w14:textId="77777777" w:rsidR="0016314E" w:rsidRDefault="00035198">
            <w:pPr>
              <w:widowControl w:val="0"/>
              <w:pBdr>
                <w:top w:val="nil"/>
                <w:left w:val="nil"/>
                <w:bottom w:val="nil"/>
                <w:right w:val="nil"/>
                <w:between w:val="nil"/>
              </w:pBdr>
              <w:spacing w:after="0"/>
              <w:rPr>
                <w:sz w:val="20"/>
                <w:szCs w:val="20"/>
              </w:rPr>
            </w:pPr>
            <w:r>
              <w:rPr>
                <w:sz w:val="20"/>
                <w:szCs w:val="20"/>
              </w:rPr>
              <w:t>Provides regular reports to the STFC's Operations Board on the status of the ma</w:t>
            </w:r>
            <w:r>
              <w:rPr>
                <w:sz w:val="20"/>
                <w:szCs w:val="20"/>
              </w:rPr>
              <w:t>jor projects within STFC summarising key issues or risks identified within each project and the proposed mitigation action being taken in a “Traffic Light” report format.  The PRC is also responsible for maintaining the Project Management Framework and wil</w:t>
            </w:r>
            <w:r>
              <w:rPr>
                <w:sz w:val="20"/>
                <w:szCs w:val="20"/>
              </w:rPr>
              <w:t>l review this on an annual basis.</w:t>
            </w:r>
          </w:p>
        </w:tc>
      </w:tr>
      <w:tr w:rsidR="0016314E" w14:paraId="17DE3092" w14:textId="77777777">
        <w:tc>
          <w:tcPr>
            <w:tcW w:w="1155" w:type="dxa"/>
            <w:shd w:val="clear" w:color="auto" w:fill="auto"/>
            <w:tcMar>
              <w:top w:w="100" w:type="dxa"/>
              <w:left w:w="100" w:type="dxa"/>
              <w:bottom w:w="100" w:type="dxa"/>
              <w:right w:w="100" w:type="dxa"/>
            </w:tcMar>
          </w:tcPr>
          <w:p w14:paraId="4DFF3CA0" w14:textId="77777777" w:rsidR="0016314E" w:rsidRDefault="00035198">
            <w:pPr>
              <w:widowControl w:val="0"/>
              <w:pBdr>
                <w:top w:val="nil"/>
                <w:left w:val="nil"/>
                <w:bottom w:val="nil"/>
                <w:right w:val="nil"/>
                <w:between w:val="nil"/>
              </w:pBdr>
              <w:spacing w:after="0"/>
              <w:rPr>
                <w:sz w:val="20"/>
                <w:szCs w:val="20"/>
              </w:rPr>
            </w:pPr>
            <w:r>
              <w:rPr>
                <w:sz w:val="20"/>
                <w:szCs w:val="20"/>
              </w:rPr>
              <w:t>Finance Meeting</w:t>
            </w:r>
          </w:p>
        </w:tc>
        <w:tc>
          <w:tcPr>
            <w:tcW w:w="1605" w:type="dxa"/>
            <w:shd w:val="clear" w:color="auto" w:fill="auto"/>
            <w:tcMar>
              <w:top w:w="100" w:type="dxa"/>
              <w:left w:w="100" w:type="dxa"/>
              <w:bottom w:w="100" w:type="dxa"/>
              <w:right w:w="100" w:type="dxa"/>
            </w:tcMar>
          </w:tcPr>
          <w:p w14:paraId="53C598FF" w14:textId="77777777" w:rsidR="0016314E" w:rsidRDefault="00035198">
            <w:pPr>
              <w:widowControl w:val="0"/>
              <w:spacing w:after="0"/>
              <w:rPr>
                <w:sz w:val="20"/>
                <w:szCs w:val="20"/>
              </w:rPr>
            </w:pPr>
            <w:r>
              <w:rPr>
                <w:sz w:val="20"/>
                <w:szCs w:val="20"/>
              </w:rPr>
              <w:t>SCD and Finance department staff</w:t>
            </w:r>
          </w:p>
        </w:tc>
        <w:tc>
          <w:tcPr>
            <w:tcW w:w="1215" w:type="dxa"/>
            <w:shd w:val="clear" w:color="auto" w:fill="auto"/>
            <w:tcMar>
              <w:top w:w="100" w:type="dxa"/>
              <w:left w:w="100" w:type="dxa"/>
              <w:bottom w:w="100" w:type="dxa"/>
              <w:right w:w="100" w:type="dxa"/>
            </w:tcMar>
          </w:tcPr>
          <w:p w14:paraId="5E8B446E" w14:textId="77777777" w:rsidR="0016314E" w:rsidRDefault="00035198">
            <w:pPr>
              <w:widowControl w:val="0"/>
              <w:pBdr>
                <w:top w:val="nil"/>
                <w:left w:val="nil"/>
                <w:bottom w:val="nil"/>
                <w:right w:val="nil"/>
                <w:between w:val="nil"/>
              </w:pBdr>
              <w:spacing w:after="0"/>
              <w:rPr>
                <w:sz w:val="20"/>
                <w:szCs w:val="20"/>
              </w:rPr>
            </w:pPr>
            <w:r>
              <w:rPr>
                <w:sz w:val="20"/>
                <w:szCs w:val="20"/>
              </w:rPr>
              <w:t>Weekly/Monthly</w:t>
            </w:r>
          </w:p>
        </w:tc>
        <w:tc>
          <w:tcPr>
            <w:tcW w:w="5505" w:type="dxa"/>
            <w:shd w:val="clear" w:color="auto" w:fill="auto"/>
            <w:tcMar>
              <w:top w:w="100" w:type="dxa"/>
              <w:left w:w="100" w:type="dxa"/>
              <w:bottom w:w="100" w:type="dxa"/>
              <w:right w:w="100" w:type="dxa"/>
            </w:tcMar>
          </w:tcPr>
          <w:p w14:paraId="1FCD08FA" w14:textId="77777777" w:rsidR="0016314E" w:rsidRDefault="00035198">
            <w:pPr>
              <w:widowControl w:val="0"/>
              <w:pBdr>
                <w:top w:val="nil"/>
                <w:left w:val="nil"/>
                <w:bottom w:val="nil"/>
                <w:right w:val="nil"/>
                <w:between w:val="nil"/>
              </w:pBdr>
              <w:spacing w:after="0"/>
              <w:rPr>
                <w:sz w:val="20"/>
                <w:szCs w:val="20"/>
              </w:rPr>
            </w:pPr>
            <w:proofErr w:type="spellStart"/>
            <w:r>
              <w:rPr>
                <w:sz w:val="20"/>
                <w:szCs w:val="20"/>
              </w:rPr>
              <w:t>Weekl</w:t>
            </w:r>
            <w:proofErr w:type="spellEnd"/>
          </w:p>
        </w:tc>
      </w:tr>
      <w:tr w:rsidR="0016314E" w14:paraId="086C4B92" w14:textId="77777777">
        <w:tc>
          <w:tcPr>
            <w:tcW w:w="1155" w:type="dxa"/>
            <w:shd w:val="clear" w:color="auto" w:fill="auto"/>
            <w:tcMar>
              <w:top w:w="100" w:type="dxa"/>
              <w:left w:w="100" w:type="dxa"/>
              <w:bottom w:w="100" w:type="dxa"/>
              <w:right w:w="100" w:type="dxa"/>
            </w:tcMar>
          </w:tcPr>
          <w:p w14:paraId="41FA0B09" w14:textId="77777777" w:rsidR="0016314E" w:rsidRDefault="00035198">
            <w:pPr>
              <w:widowControl w:val="0"/>
              <w:spacing w:after="0"/>
              <w:rPr>
                <w:sz w:val="20"/>
                <w:szCs w:val="20"/>
              </w:rPr>
            </w:pPr>
            <w:proofErr w:type="spellStart"/>
            <w:r>
              <w:rPr>
                <w:sz w:val="20"/>
                <w:szCs w:val="20"/>
              </w:rPr>
              <w:t>SeIGO</w:t>
            </w:r>
            <w:proofErr w:type="spellEnd"/>
          </w:p>
        </w:tc>
        <w:tc>
          <w:tcPr>
            <w:tcW w:w="1605" w:type="dxa"/>
            <w:shd w:val="clear" w:color="auto" w:fill="auto"/>
            <w:tcMar>
              <w:top w:w="100" w:type="dxa"/>
              <w:left w:w="100" w:type="dxa"/>
              <w:bottom w:w="100" w:type="dxa"/>
              <w:right w:w="100" w:type="dxa"/>
            </w:tcMar>
          </w:tcPr>
          <w:p w14:paraId="30862260" w14:textId="77777777" w:rsidR="0016314E" w:rsidRDefault="00035198">
            <w:pPr>
              <w:widowControl w:val="0"/>
              <w:spacing w:after="0"/>
              <w:rPr>
                <w:sz w:val="20"/>
                <w:szCs w:val="20"/>
              </w:rPr>
            </w:pPr>
            <w:r>
              <w:rPr>
                <w:sz w:val="20"/>
                <w:szCs w:val="20"/>
              </w:rPr>
              <w:t xml:space="preserve">Broad representation </w:t>
            </w:r>
            <w:r>
              <w:rPr>
                <w:sz w:val="20"/>
                <w:szCs w:val="20"/>
              </w:rPr>
              <w:lastRenderedPageBreak/>
              <w:t>across STFC, including programs, national labs, Diamond, CAP and independent external members</w:t>
            </w:r>
          </w:p>
        </w:tc>
        <w:tc>
          <w:tcPr>
            <w:tcW w:w="1215" w:type="dxa"/>
            <w:shd w:val="clear" w:color="auto" w:fill="auto"/>
            <w:tcMar>
              <w:top w:w="100" w:type="dxa"/>
              <w:left w:w="100" w:type="dxa"/>
              <w:bottom w:w="100" w:type="dxa"/>
              <w:right w:w="100" w:type="dxa"/>
            </w:tcMar>
          </w:tcPr>
          <w:p w14:paraId="24E18901" w14:textId="77777777" w:rsidR="0016314E" w:rsidRDefault="00035198">
            <w:pPr>
              <w:widowControl w:val="0"/>
              <w:spacing w:after="0"/>
              <w:rPr>
                <w:sz w:val="20"/>
                <w:szCs w:val="20"/>
              </w:rPr>
            </w:pPr>
            <w:r>
              <w:rPr>
                <w:sz w:val="20"/>
                <w:szCs w:val="20"/>
              </w:rPr>
              <w:lastRenderedPageBreak/>
              <w:t>Bi-Monthly</w:t>
            </w:r>
          </w:p>
        </w:tc>
        <w:tc>
          <w:tcPr>
            <w:tcW w:w="5505" w:type="dxa"/>
            <w:shd w:val="clear" w:color="auto" w:fill="auto"/>
            <w:tcMar>
              <w:top w:w="100" w:type="dxa"/>
              <w:left w:w="100" w:type="dxa"/>
              <w:bottom w:w="100" w:type="dxa"/>
              <w:right w:w="100" w:type="dxa"/>
            </w:tcMar>
          </w:tcPr>
          <w:p w14:paraId="7B51B3D1" w14:textId="77777777" w:rsidR="0016314E" w:rsidRDefault="00035198">
            <w:pPr>
              <w:widowControl w:val="0"/>
              <w:spacing w:after="0"/>
              <w:ind w:left="360"/>
              <w:rPr>
                <w:sz w:val="20"/>
                <w:szCs w:val="20"/>
              </w:rPr>
            </w:pPr>
            <w:r>
              <w:rPr>
                <w:sz w:val="20"/>
                <w:szCs w:val="20"/>
              </w:rPr>
              <w:t xml:space="preserve">To share information on STFC e-infrastructure requirements, to identify priorities and coordinate </w:t>
            </w:r>
            <w:r>
              <w:rPr>
                <w:sz w:val="20"/>
                <w:szCs w:val="20"/>
              </w:rPr>
              <w:lastRenderedPageBreak/>
              <w:t xml:space="preserve">investments and operations.  Be </w:t>
            </w:r>
            <w:r>
              <w:rPr>
                <w:sz w:val="20"/>
                <w:szCs w:val="20"/>
              </w:rPr>
              <w:t xml:space="preserve">responsible for advising EB on the </w:t>
            </w:r>
            <w:r>
              <w:rPr>
                <w:sz w:val="20"/>
                <w:szCs w:val="20"/>
                <w:u w:val="single"/>
              </w:rPr>
              <w:t>development</w:t>
            </w:r>
            <w:r>
              <w:rPr>
                <w:sz w:val="20"/>
                <w:szCs w:val="20"/>
              </w:rPr>
              <w:t xml:space="preserve">, </w:t>
            </w:r>
            <w:r>
              <w:rPr>
                <w:sz w:val="20"/>
                <w:szCs w:val="20"/>
                <w:u w:val="single"/>
              </w:rPr>
              <w:t>monitoring</w:t>
            </w:r>
            <w:r>
              <w:rPr>
                <w:sz w:val="20"/>
                <w:szCs w:val="20"/>
              </w:rPr>
              <w:t xml:space="preserve"> and </w:t>
            </w:r>
            <w:r>
              <w:rPr>
                <w:sz w:val="20"/>
                <w:szCs w:val="20"/>
                <w:u w:val="single"/>
              </w:rPr>
              <w:t>implementation</w:t>
            </w:r>
            <w:r>
              <w:rPr>
                <w:sz w:val="20"/>
                <w:szCs w:val="20"/>
              </w:rPr>
              <w:t xml:space="preserve"> of the STFC e-infrastructure strategy, taking into account the importance of influencing, and </w:t>
            </w:r>
            <w:r>
              <w:rPr>
                <w:sz w:val="20"/>
                <w:szCs w:val="20"/>
                <w:u w:val="single"/>
              </w:rPr>
              <w:t>aligning with, the UKRI e-infrastructure strategy</w:t>
            </w:r>
            <w:r>
              <w:rPr>
                <w:sz w:val="20"/>
                <w:szCs w:val="20"/>
              </w:rPr>
              <w:t>. Ensure that STFC e-infrastructure activities add value for the UK research and innovation communities, and do not duplicate services from other providers.  Coordinate e-infrastructure investments and activities to deliver the STFC e-infrastructure strate</w:t>
            </w:r>
            <w:r>
              <w:rPr>
                <w:sz w:val="20"/>
                <w:szCs w:val="20"/>
              </w:rPr>
              <w:t>gy. Ensure that appropriate oversight and monitoring procedures are in place to ensure that e-infrastructure funded and/or delivered by STFC, delivers against the priorities and needs of the users. Drive efficiencies in e-infrastructure operations across p</w:t>
            </w:r>
            <w:r>
              <w:rPr>
                <w:sz w:val="20"/>
                <w:szCs w:val="20"/>
              </w:rPr>
              <w:t>rojects and research areas funded and supported by STFC, sharing and implementing best practice across STFC and its communities.</w:t>
            </w:r>
          </w:p>
        </w:tc>
      </w:tr>
    </w:tbl>
    <w:p w14:paraId="3D9BD038" w14:textId="77777777" w:rsidR="0016314E" w:rsidRDefault="0016314E"/>
    <w:p w14:paraId="1D8FC651" w14:textId="77777777" w:rsidR="0016314E" w:rsidRDefault="0016314E"/>
    <w:p w14:paraId="2FB7E054" w14:textId="77777777" w:rsidR="0016314E" w:rsidRDefault="0016314E"/>
    <w:p w14:paraId="3C25B442" w14:textId="77777777" w:rsidR="0016314E" w:rsidRDefault="0016314E">
      <w:pPr>
        <w:rPr>
          <w:rFonts w:ascii="Calibri" w:eastAsia="Calibri" w:hAnsi="Calibri" w:cs="Calibri"/>
        </w:rPr>
      </w:pPr>
    </w:p>
    <w:sectPr w:rsidR="0016314E">
      <w:pgSz w:w="11900" w:h="16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81342"/>
    <w:multiLevelType w:val="multilevel"/>
    <w:tmpl w:val="19EAA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854069"/>
    <w:multiLevelType w:val="hybridMultilevel"/>
    <w:tmpl w:val="737A8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11664F"/>
    <w:multiLevelType w:val="multilevel"/>
    <w:tmpl w:val="6FF0E5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F247B02"/>
    <w:multiLevelType w:val="multilevel"/>
    <w:tmpl w:val="9C74A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16314E"/>
    <w:rsid w:val="00035198"/>
    <w:rsid w:val="0016314E"/>
    <w:rsid w:val="00952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4C8A9D"/>
  <w15:docId w15:val="{9BA5D163-8A07-C84C-87E5-329F2FF3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GB" w:eastAsia="en-GB"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rPr>
      <w:sz w:val="24"/>
      <w:szCs w:val="24"/>
    </w:r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52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1303</Words>
  <Characters>7432</Characters>
  <Application>Microsoft Office Word</Application>
  <DocSecurity>0</DocSecurity>
  <Lines>61</Lines>
  <Paragraphs>17</Paragraphs>
  <ScaleCrop>false</ScaleCrop>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CLARKE Peter</cp:lastModifiedBy>
  <cp:revision>3</cp:revision>
  <dcterms:created xsi:type="dcterms:W3CDTF">2020-05-14T10:40:00Z</dcterms:created>
  <dcterms:modified xsi:type="dcterms:W3CDTF">2020-05-14T10:46:00Z</dcterms:modified>
</cp:coreProperties>
</file>